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b/>
          <w:bCs/>
          <w:sz w:val="20"/>
          <w:szCs w:val="20"/>
        </w:rPr>
      </w:pPr>
      <w:r w:rsidRPr="00E635A2">
        <w:rPr>
          <w:rFonts w:hint="cs"/>
          <w:sz w:val="20"/>
          <w:szCs w:val="20"/>
          <w:rtl/>
        </w:rPr>
        <w:t xml:space="preserve">מספר פנימי: </w:t>
      </w:r>
      <w:bookmarkStart w:id="0" w:name="LGS_Internal_ID"/>
      <w:r>
        <w:rPr>
          <w:rFonts w:hint="cs"/>
          <w:sz w:val="20"/>
          <w:szCs w:val="20"/>
          <w:rtl/>
        </w:rPr>
        <w:t>2190331</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וארבע</w:t>
      </w:r>
      <w:bookmarkEnd w:id="1"/>
    </w:p>
    <w:p w14:paraId="7F6961A3" w14:textId="77777777" w:rsidR="00E13C27" w:rsidRPr="00F67051" w:rsidRDefault="00E13C27" w:rsidP="00E13C27">
      <w:pPr>
        <w:rPr>
          <w:b/>
          <w:bCs/>
          <w:sz w:val="26"/>
          <w:szCs w:val="26"/>
          <w:rtl/>
        </w:rPr>
      </w:pPr>
    </w:p>
    <w:p w14:paraId="7F6961AA" w14:textId="67A0CF9E" w:rsidR="00E13C27" w:rsidRPr="00CF1AA2" w:rsidRDefault="008F6665" w:rsidP="00096FFF">
      <w:pPr>
        <w:pStyle w:val="David"/>
        <w:spacing w:before="102"/>
        <w:ind w:left="3544"/>
        <w:rPr>
          <w:b/>
          <w:bCs/>
          <w:sz w:val="16"/>
          <w:szCs w:val="16"/>
          <w:rtl/>
        </w:rPr>
      </w:pPr>
      <w:bookmarkStart w:id="2" w:name="LGS_Initiators_List"/>
      <w:r>
        <w:rPr>
          <w:b/>
          <w:bCs/>
          <w:rtl/>
        </w:rPr>
        <w:t>יוזמים:      חברי הכנסת</w:t>
      </w:r>
      <w:bookmarkEnd w:id="2"/>
      <w:r w:rsidR="00B35784" w:rsidRPr="00F67051">
        <w:rPr>
          <w:b/>
          <w:bCs/>
        </w:rPr>
        <w:tab/>
      </w:r>
      <w:bookmarkStart w:id="3" w:name="LGS_PM_Names"/>
      <w:r>
        <w:rPr>
          <w:rFonts w:hint="cs"/>
          <w:b/>
          <w:bCs/>
          <w:rtl/>
        </w:rPr>
        <w:t>אורי מקלב</w:t>
      </w:r>
      <w:r>
        <w:br/>
      </w:r>
      <w:r>
        <w:rPr>
          <w:rFonts w:hint="cs"/>
          <w:b/>
          <w:bCs/>
          <w:rtl/>
        </w:rPr>
        <w:t xml:space="preserve"> </w:t>
      </w:r>
      <w:r>
        <w:tab/>
      </w:r>
      <w:r>
        <w:tab/>
      </w:r>
      <w:r>
        <w:tab/>
      </w:r>
      <w:r>
        <w:tab/>
      </w:r>
      <w:r>
        <w:rPr>
          <w:rFonts w:hint="cs"/>
          <w:b/>
          <w:bCs/>
          <w:rtl/>
        </w:rPr>
        <w:t>משה גפני</w:t>
      </w:r>
      <w:r>
        <w:br/>
      </w:r>
      <w:r>
        <w:rPr>
          <w:rFonts w:hint="cs"/>
          <w:b/>
          <w:bCs/>
          <w:rtl/>
        </w:rPr>
        <w:t xml:space="preserve"> </w:t>
      </w:r>
      <w:r>
        <w:tab/>
      </w:r>
      <w:r>
        <w:tab/>
      </w:r>
      <w:r>
        <w:tab/>
      </w:r>
      <w:r>
        <w:tab/>
      </w:r>
      <w:r>
        <w:rPr>
          <w:rFonts w:hint="cs"/>
          <w:b/>
          <w:bCs/>
          <w:rtl/>
        </w:rPr>
        <w:t>יעקב אשר</w:t>
      </w:r>
      <w:r>
        <w:br/>
      </w:r>
      <w:r>
        <w:rPr>
          <w:rFonts w:hint="cs"/>
          <w:b/>
          <w:bCs/>
          <w:rtl/>
        </w:rPr>
        <w:t xml:space="preserve"> </w:t>
      </w:r>
      <w:r>
        <w:tab/>
      </w:r>
      <w:r>
        <w:tab/>
      </w:r>
      <w:r>
        <w:tab/>
      </w:r>
      <w:r>
        <w:tab/>
      </w:r>
      <w:r>
        <w:rPr>
          <w:rFonts w:hint="cs"/>
          <w:b/>
          <w:bCs/>
          <w:rtl/>
        </w:rPr>
        <w:t>יצחק פינדרוס</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65BB69DD" w:rsidR="00E13C27" w:rsidRPr="00E06736" w:rsidRDefault="00904591" w:rsidP="00096FFF">
      <w:pPr>
        <w:pStyle w:val="David"/>
        <w:spacing w:line="240" w:lineRule="auto"/>
        <w:ind w:left="6424" w:firstLine="56"/>
        <w:rPr>
          <w:rtl/>
        </w:rPr>
      </w:pPr>
      <w:bookmarkStart w:id="6" w:name="Private_Number"/>
      <w:r>
        <w:rPr>
          <w:rFonts w:hint="cs"/>
          <w:rtl/>
        </w:rPr>
        <w:t>פ/3500/24</w:t>
      </w:r>
      <w:bookmarkEnd w:id="6"/>
    </w:p>
    <w:p w14:paraId="7F6961AD" w14:textId="0B5BDB9C" w:rsidR="00E13C27" w:rsidRPr="00F67051" w:rsidRDefault="00A443CF" w:rsidP="00C1789C">
      <w:pPr>
        <w:pStyle w:val="HeadHatzaotHok"/>
        <w:rPr>
          <w:rtl/>
        </w:rPr>
      </w:pPr>
      <w:bookmarkStart w:id="7" w:name="LGS_Subject"/>
      <w:r>
        <w:rPr>
          <w:rFonts w:hint="cs"/>
          <w:rtl/>
        </w:rPr>
        <w:t>הצעת חוק סיוע בקידום תעסוקתי למשפחות של עובדים מעוטי הכנסה, התשפ"ב</w:t>
      </w:r>
      <w:r w:rsidR="00C1789C">
        <w:rPr>
          <w:rFonts w:hint="eastAsia"/>
          <w:rtl/>
        </w:rPr>
        <w:t>–</w:t>
      </w:r>
      <w:r>
        <w:rPr>
          <w:rFonts w:hint="cs"/>
          <w:rtl/>
        </w:rPr>
        <w:t>2022</w:t>
      </w:r>
      <w:bookmarkEnd w:id="7"/>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624"/>
        <w:gridCol w:w="6519"/>
      </w:tblGrid>
      <w:tr w:rsidR="000E0A07" w:rsidRPr="00281F15" w14:paraId="4443072F" w14:textId="77777777" w:rsidTr="00096FFF">
        <w:tc>
          <w:tcPr>
            <w:tcW w:w="1871" w:type="dxa"/>
            <w:hideMark/>
          </w:tcPr>
          <w:p w14:paraId="299B8BEA" w14:textId="77777777" w:rsidR="000E0A07" w:rsidRPr="00096FFF" w:rsidRDefault="000E0A07" w:rsidP="00096FFF">
            <w:pPr>
              <w:pStyle w:val="TableSideHeading"/>
              <w:outlineLvl w:val="9"/>
            </w:pPr>
            <w:r w:rsidRPr="00096FFF">
              <w:rPr>
                <w:rFonts w:hint="cs"/>
                <w:rtl/>
              </w:rPr>
              <w:t xml:space="preserve">הגדרות </w:t>
            </w:r>
          </w:p>
        </w:tc>
        <w:tc>
          <w:tcPr>
            <w:tcW w:w="624" w:type="dxa"/>
            <w:hideMark/>
          </w:tcPr>
          <w:p w14:paraId="4F535D8F" w14:textId="77777777" w:rsidR="000E0A07" w:rsidRPr="00096FFF" w:rsidRDefault="000E0A07" w:rsidP="00096FFF">
            <w:pPr>
              <w:pStyle w:val="TableText"/>
              <w:jc w:val="both"/>
            </w:pPr>
            <w:r w:rsidRPr="00096FFF">
              <w:rPr>
                <w:rFonts w:hint="cs"/>
                <w:rtl/>
              </w:rPr>
              <w:t>1.</w:t>
            </w:r>
          </w:p>
        </w:tc>
        <w:tc>
          <w:tcPr>
            <w:tcW w:w="7143" w:type="dxa"/>
            <w:gridSpan w:val="2"/>
            <w:hideMark/>
          </w:tcPr>
          <w:p w14:paraId="4C3910B7" w14:textId="77777777" w:rsidR="000E0A07" w:rsidRPr="00096FFF" w:rsidRDefault="000E0A07" w:rsidP="00096FFF">
            <w:pPr>
              <w:pStyle w:val="TableBlock"/>
            </w:pPr>
            <w:r w:rsidRPr="00096FFF">
              <w:rPr>
                <w:rFonts w:hint="cs"/>
                <w:rtl/>
              </w:rPr>
              <w:t>בחוק זה –</w:t>
            </w:r>
          </w:p>
        </w:tc>
      </w:tr>
      <w:tr w:rsidR="000E0A07" w:rsidRPr="00281F15" w14:paraId="416A951B" w14:textId="77777777" w:rsidTr="00096FFF">
        <w:tc>
          <w:tcPr>
            <w:tcW w:w="1871" w:type="dxa"/>
          </w:tcPr>
          <w:p w14:paraId="5A777395" w14:textId="77777777" w:rsidR="000E0A07" w:rsidRPr="00096FFF" w:rsidRDefault="000E0A07" w:rsidP="00096FFF">
            <w:pPr>
              <w:pStyle w:val="TableSideHeading"/>
            </w:pPr>
          </w:p>
        </w:tc>
        <w:tc>
          <w:tcPr>
            <w:tcW w:w="624" w:type="dxa"/>
          </w:tcPr>
          <w:p w14:paraId="339A0F58" w14:textId="77777777" w:rsidR="000E0A07" w:rsidRPr="00096FFF" w:rsidRDefault="000E0A07" w:rsidP="00096FFF">
            <w:pPr>
              <w:pStyle w:val="TableText"/>
            </w:pPr>
          </w:p>
        </w:tc>
        <w:tc>
          <w:tcPr>
            <w:tcW w:w="7143" w:type="dxa"/>
            <w:gridSpan w:val="2"/>
            <w:hideMark/>
          </w:tcPr>
          <w:p w14:paraId="384B723E" w14:textId="77777777" w:rsidR="000E0A07" w:rsidRPr="00096FFF" w:rsidRDefault="000E0A07" w:rsidP="00096FFF">
            <w:pPr>
              <w:pStyle w:val="TableBlockOutdent"/>
            </w:pPr>
            <w:r w:rsidRPr="00096FFF">
              <w:rPr>
                <w:rFonts w:hint="cs"/>
                <w:rtl/>
              </w:rPr>
              <w:t>"הכנסה" – כהגדרתה בסעיף 9(א) לחוק הבטחת הכנסה, התשמ"א–1980</w:t>
            </w:r>
            <w:r w:rsidRPr="00096FFF">
              <w:rPr>
                <w:vertAlign w:val="superscript"/>
                <w:rtl/>
              </w:rPr>
              <w:footnoteReference w:id="2"/>
            </w:r>
            <w:r w:rsidRPr="00096FFF">
              <w:rPr>
                <w:rFonts w:hint="cs"/>
                <w:rtl/>
              </w:rPr>
              <w:t>;</w:t>
            </w:r>
          </w:p>
        </w:tc>
      </w:tr>
      <w:tr w:rsidR="000E0A07" w:rsidRPr="00281F15" w14:paraId="6E45AAD5" w14:textId="77777777" w:rsidTr="00096FFF">
        <w:tc>
          <w:tcPr>
            <w:tcW w:w="1871" w:type="dxa"/>
          </w:tcPr>
          <w:p w14:paraId="30E70BD2" w14:textId="77777777" w:rsidR="000E0A07" w:rsidRPr="00096FFF" w:rsidRDefault="000E0A07" w:rsidP="00096FFF">
            <w:pPr>
              <w:pStyle w:val="TableSideHeading"/>
            </w:pPr>
          </w:p>
        </w:tc>
        <w:tc>
          <w:tcPr>
            <w:tcW w:w="624" w:type="dxa"/>
          </w:tcPr>
          <w:p w14:paraId="2ABD370E" w14:textId="77777777" w:rsidR="000E0A07" w:rsidRPr="00096FFF" w:rsidRDefault="000E0A07" w:rsidP="00096FFF">
            <w:pPr>
              <w:pStyle w:val="TableText"/>
            </w:pPr>
          </w:p>
        </w:tc>
        <w:tc>
          <w:tcPr>
            <w:tcW w:w="7143" w:type="dxa"/>
            <w:gridSpan w:val="2"/>
            <w:hideMark/>
          </w:tcPr>
          <w:p w14:paraId="37F5DDAB" w14:textId="77777777" w:rsidR="000E0A07" w:rsidRPr="00096FFF" w:rsidRDefault="000E0A07" w:rsidP="00096FFF">
            <w:pPr>
              <w:pStyle w:val="TableBlockOutdent"/>
            </w:pPr>
            <w:r w:rsidRPr="00096FFF">
              <w:rPr>
                <w:rFonts w:hint="cs"/>
                <w:rtl/>
              </w:rPr>
              <w:t>"השכר הממוצע" –  כהגדרתו בסעיף 1 לחוק הביטוח הלאומי;</w:t>
            </w:r>
          </w:p>
        </w:tc>
      </w:tr>
      <w:tr w:rsidR="000E0A07" w:rsidRPr="00281F15" w14:paraId="4C2AA5CB" w14:textId="77777777" w:rsidTr="00096FFF">
        <w:tc>
          <w:tcPr>
            <w:tcW w:w="1871" w:type="dxa"/>
          </w:tcPr>
          <w:p w14:paraId="01B792B0" w14:textId="77777777" w:rsidR="000E0A07" w:rsidRPr="00096FFF" w:rsidRDefault="000E0A07" w:rsidP="00096FFF">
            <w:pPr>
              <w:pStyle w:val="TableSideHeading"/>
            </w:pPr>
          </w:p>
        </w:tc>
        <w:tc>
          <w:tcPr>
            <w:tcW w:w="624" w:type="dxa"/>
          </w:tcPr>
          <w:p w14:paraId="7A830D3A" w14:textId="77777777" w:rsidR="000E0A07" w:rsidRPr="00096FFF" w:rsidRDefault="000E0A07" w:rsidP="00096FFF">
            <w:pPr>
              <w:pStyle w:val="TableText"/>
            </w:pPr>
          </w:p>
        </w:tc>
        <w:tc>
          <w:tcPr>
            <w:tcW w:w="7143" w:type="dxa"/>
            <w:gridSpan w:val="2"/>
          </w:tcPr>
          <w:p w14:paraId="109F591F" w14:textId="754B7C35" w:rsidR="000E0A07" w:rsidRPr="00096FFF" w:rsidRDefault="000E0A07" w:rsidP="00096FFF">
            <w:pPr>
              <w:pStyle w:val="TableBlockOutdent"/>
              <w:rPr>
                <w:rtl/>
              </w:rPr>
            </w:pPr>
            <w:r w:rsidRPr="00096FFF">
              <w:rPr>
                <w:rFonts w:hint="cs"/>
                <w:rtl/>
              </w:rPr>
              <w:t xml:space="preserve">"חוק הביטוח הלאומי" </w:t>
            </w:r>
            <w:r w:rsidRPr="00096FFF">
              <w:rPr>
                <w:rtl/>
              </w:rPr>
              <w:t>–</w:t>
            </w:r>
            <w:r w:rsidRPr="00096FFF">
              <w:rPr>
                <w:rFonts w:hint="cs"/>
                <w:rtl/>
              </w:rPr>
              <w:t xml:space="preserve"> חוק הביטוח הלאומי [נוסח משולב] התשנ"ה</w:t>
            </w:r>
            <w:r w:rsidR="00E0011D" w:rsidRPr="00096FFF">
              <w:rPr>
                <w:rFonts w:hint="eastAsia"/>
                <w:rtl/>
              </w:rPr>
              <w:t>–</w:t>
            </w:r>
            <w:r w:rsidRPr="00096FFF">
              <w:rPr>
                <w:rFonts w:hint="cs"/>
                <w:rtl/>
              </w:rPr>
              <w:t>1995</w:t>
            </w:r>
            <w:r w:rsidRPr="00096FFF">
              <w:rPr>
                <w:vertAlign w:val="superscript"/>
                <w:rtl/>
              </w:rPr>
              <w:footnoteReference w:id="3"/>
            </w:r>
            <w:r w:rsidRPr="00096FFF">
              <w:rPr>
                <w:rFonts w:hint="cs"/>
                <w:rtl/>
              </w:rPr>
              <w:t>;</w:t>
            </w:r>
          </w:p>
        </w:tc>
      </w:tr>
      <w:tr w:rsidR="000E0A07" w:rsidRPr="00281F15" w14:paraId="0A9A03E3" w14:textId="77777777" w:rsidTr="00096FFF">
        <w:tc>
          <w:tcPr>
            <w:tcW w:w="1871" w:type="dxa"/>
          </w:tcPr>
          <w:p w14:paraId="1B274B0B" w14:textId="77777777" w:rsidR="000E0A07" w:rsidRPr="00096FFF" w:rsidRDefault="000E0A07" w:rsidP="00096FFF">
            <w:pPr>
              <w:pStyle w:val="TableSideHeading"/>
            </w:pPr>
          </w:p>
        </w:tc>
        <w:tc>
          <w:tcPr>
            <w:tcW w:w="624" w:type="dxa"/>
          </w:tcPr>
          <w:p w14:paraId="4D76A6DC" w14:textId="77777777" w:rsidR="000E0A07" w:rsidRPr="00096FFF" w:rsidRDefault="000E0A07" w:rsidP="00096FFF">
            <w:pPr>
              <w:pStyle w:val="TableText"/>
            </w:pPr>
          </w:p>
        </w:tc>
        <w:tc>
          <w:tcPr>
            <w:tcW w:w="7143" w:type="dxa"/>
            <w:gridSpan w:val="2"/>
            <w:hideMark/>
          </w:tcPr>
          <w:p w14:paraId="5BEC12CC" w14:textId="31AF4608" w:rsidR="000E0A07" w:rsidRPr="00096FFF" w:rsidRDefault="000E0A07" w:rsidP="00096FFF">
            <w:pPr>
              <w:pStyle w:val="TableBlockOutdent"/>
            </w:pPr>
            <w:r w:rsidRPr="00096FFF">
              <w:rPr>
                <w:rFonts w:hint="cs"/>
                <w:rtl/>
              </w:rPr>
              <w:t xml:space="preserve">"ילד" – כהגדרתו בסעיף 1 לחוק הביטוח הלאומי, שטרם מלאו לו 18 </w:t>
            </w:r>
            <w:r w:rsidR="00381BBC" w:rsidRPr="00096FFF">
              <w:rPr>
                <w:rFonts w:hint="cs"/>
                <w:rtl/>
              </w:rPr>
              <w:t>שנים</w:t>
            </w:r>
            <w:r w:rsidRPr="00096FFF">
              <w:rPr>
                <w:rFonts w:hint="cs"/>
                <w:rtl/>
              </w:rPr>
              <w:t>;</w:t>
            </w:r>
          </w:p>
        </w:tc>
      </w:tr>
      <w:tr w:rsidR="000E0A07" w:rsidRPr="00281F15" w14:paraId="0AB759B9" w14:textId="77777777" w:rsidTr="00096FFF">
        <w:tc>
          <w:tcPr>
            <w:tcW w:w="1871" w:type="dxa"/>
          </w:tcPr>
          <w:p w14:paraId="5193E4E5" w14:textId="77777777" w:rsidR="000E0A07" w:rsidRPr="00096FFF" w:rsidRDefault="000E0A07" w:rsidP="00096FFF">
            <w:pPr>
              <w:pStyle w:val="TableSideHeading"/>
            </w:pPr>
          </w:p>
        </w:tc>
        <w:tc>
          <w:tcPr>
            <w:tcW w:w="624" w:type="dxa"/>
          </w:tcPr>
          <w:p w14:paraId="31C0FF55" w14:textId="77777777" w:rsidR="000E0A07" w:rsidRPr="00096FFF" w:rsidRDefault="000E0A07" w:rsidP="00096FFF">
            <w:pPr>
              <w:pStyle w:val="TableText"/>
            </w:pPr>
          </w:p>
        </w:tc>
        <w:tc>
          <w:tcPr>
            <w:tcW w:w="7143" w:type="dxa"/>
            <w:gridSpan w:val="2"/>
            <w:hideMark/>
          </w:tcPr>
          <w:p w14:paraId="5410270F" w14:textId="2C1E634B" w:rsidR="000E0A07" w:rsidRPr="00096FFF" w:rsidRDefault="000E0A07" w:rsidP="00096FFF">
            <w:pPr>
              <w:pStyle w:val="TableBlockOutdent"/>
            </w:pPr>
            <w:r w:rsidRPr="00096FFF">
              <w:rPr>
                <w:rFonts w:hint="cs"/>
                <w:rtl/>
              </w:rPr>
              <w:t>"משפחה" – בני זוג, תושבי ישראל, המתגוררים יחדיו ולהם לפחות שני ילדים;</w:t>
            </w:r>
          </w:p>
        </w:tc>
      </w:tr>
      <w:tr w:rsidR="000E0A07" w:rsidRPr="00281F15" w14:paraId="225D70A6" w14:textId="77777777" w:rsidTr="00096FFF">
        <w:tc>
          <w:tcPr>
            <w:tcW w:w="1871" w:type="dxa"/>
          </w:tcPr>
          <w:p w14:paraId="36F9B791" w14:textId="77777777" w:rsidR="000E0A07" w:rsidRPr="00096FFF" w:rsidRDefault="000E0A07" w:rsidP="00096FFF">
            <w:pPr>
              <w:pStyle w:val="TableSideHeading"/>
            </w:pPr>
          </w:p>
        </w:tc>
        <w:tc>
          <w:tcPr>
            <w:tcW w:w="624" w:type="dxa"/>
          </w:tcPr>
          <w:p w14:paraId="250419B5" w14:textId="77777777" w:rsidR="000E0A07" w:rsidRPr="00096FFF" w:rsidRDefault="000E0A07" w:rsidP="00096FFF">
            <w:pPr>
              <w:pStyle w:val="TableText"/>
            </w:pPr>
          </w:p>
        </w:tc>
        <w:tc>
          <w:tcPr>
            <w:tcW w:w="7143" w:type="dxa"/>
            <w:gridSpan w:val="2"/>
            <w:hideMark/>
          </w:tcPr>
          <w:p w14:paraId="295AFB0A" w14:textId="77777777" w:rsidR="000E0A07" w:rsidRPr="00096FFF" w:rsidRDefault="000E0A07" w:rsidP="00096FFF">
            <w:pPr>
              <w:pStyle w:val="TableBlockOutdent"/>
            </w:pPr>
            <w:r w:rsidRPr="00096FFF">
              <w:rPr>
                <w:rFonts w:hint="cs"/>
                <w:rtl/>
              </w:rPr>
              <w:t>"משפחה של עובדים מעוטי הכנסה" – משפחה, אשר כלל הכנסותיה, בין אם הן מתקבלות מאחד מבני הזוג בלבד או משניהם יחד, אינן עולות על השכר הממוצע;</w:t>
            </w:r>
          </w:p>
        </w:tc>
      </w:tr>
      <w:tr w:rsidR="000E0A07" w:rsidRPr="00281F15" w14:paraId="3870C104" w14:textId="77777777" w:rsidTr="00096FFF">
        <w:tc>
          <w:tcPr>
            <w:tcW w:w="1871" w:type="dxa"/>
          </w:tcPr>
          <w:p w14:paraId="75B744C0" w14:textId="77777777" w:rsidR="000E0A07" w:rsidRPr="00096FFF" w:rsidRDefault="000E0A07" w:rsidP="00096FFF">
            <w:pPr>
              <w:pStyle w:val="TableSideHeading"/>
            </w:pPr>
          </w:p>
        </w:tc>
        <w:tc>
          <w:tcPr>
            <w:tcW w:w="624" w:type="dxa"/>
          </w:tcPr>
          <w:p w14:paraId="12D57FA6" w14:textId="77777777" w:rsidR="000E0A07" w:rsidRPr="00096FFF" w:rsidRDefault="000E0A07" w:rsidP="00096FFF">
            <w:pPr>
              <w:pStyle w:val="TableText"/>
            </w:pPr>
          </w:p>
        </w:tc>
        <w:tc>
          <w:tcPr>
            <w:tcW w:w="7143" w:type="dxa"/>
            <w:gridSpan w:val="2"/>
            <w:hideMark/>
          </w:tcPr>
          <w:p w14:paraId="238ECD90" w14:textId="24D40B8A" w:rsidR="000E0A07" w:rsidRPr="00096FFF" w:rsidRDefault="000E0A07" w:rsidP="00096FFF">
            <w:pPr>
              <w:pStyle w:val="TableBlockOutdent"/>
            </w:pPr>
            <w:r w:rsidRPr="00096FFF">
              <w:rPr>
                <w:rFonts w:hint="cs"/>
                <w:rtl/>
              </w:rPr>
              <w:t xml:space="preserve">"השר" – שר הרווחה </w:t>
            </w:r>
            <w:r w:rsidR="00C1789C" w:rsidRPr="00096FFF">
              <w:rPr>
                <w:rFonts w:hint="cs"/>
                <w:rtl/>
              </w:rPr>
              <w:t>והביטחון החברתי</w:t>
            </w:r>
            <w:r w:rsidRPr="00096FFF">
              <w:rPr>
                <w:rFonts w:hint="cs"/>
                <w:rtl/>
              </w:rPr>
              <w:t>.</w:t>
            </w:r>
          </w:p>
        </w:tc>
      </w:tr>
      <w:tr w:rsidR="000E0A07" w:rsidRPr="00281F15" w14:paraId="14157FCC" w14:textId="77777777" w:rsidTr="00096FFF">
        <w:tc>
          <w:tcPr>
            <w:tcW w:w="1871" w:type="dxa"/>
            <w:hideMark/>
          </w:tcPr>
          <w:p w14:paraId="58A976AA" w14:textId="77777777" w:rsidR="000E0A07" w:rsidRPr="00096FFF" w:rsidRDefault="000E0A07" w:rsidP="00096FFF">
            <w:pPr>
              <w:pStyle w:val="TableSideHeading"/>
            </w:pPr>
            <w:r w:rsidRPr="00096FFF">
              <w:rPr>
                <w:rFonts w:hint="cs"/>
                <w:rtl/>
              </w:rPr>
              <w:t>קדימות בהכשרה מקצועית</w:t>
            </w:r>
          </w:p>
        </w:tc>
        <w:tc>
          <w:tcPr>
            <w:tcW w:w="624" w:type="dxa"/>
            <w:hideMark/>
          </w:tcPr>
          <w:p w14:paraId="783A4B25" w14:textId="77777777" w:rsidR="000E0A07" w:rsidRPr="00096FFF" w:rsidRDefault="000E0A07" w:rsidP="00096FFF">
            <w:pPr>
              <w:pStyle w:val="TableText"/>
            </w:pPr>
            <w:r w:rsidRPr="00096FFF">
              <w:rPr>
                <w:rFonts w:hint="cs"/>
                <w:rtl/>
              </w:rPr>
              <w:t>2.</w:t>
            </w:r>
          </w:p>
        </w:tc>
        <w:tc>
          <w:tcPr>
            <w:tcW w:w="7143" w:type="dxa"/>
            <w:gridSpan w:val="2"/>
            <w:hideMark/>
          </w:tcPr>
          <w:p w14:paraId="6F61C027" w14:textId="75CB780F" w:rsidR="000E0A07" w:rsidRPr="00096FFF" w:rsidRDefault="000E0A07" w:rsidP="00096FFF">
            <w:pPr>
              <w:pStyle w:val="TableBlock"/>
            </w:pPr>
            <w:r w:rsidRPr="00096FFF">
              <w:rPr>
                <w:rFonts w:hint="cs"/>
                <w:rtl/>
              </w:rPr>
              <w:t xml:space="preserve">הורה במשפחה של עובדים מעוטי הכנסה זכאי לקדימות בהכשרה מקצועית לפי כללים ותנאים שיקבע השר, בהתייעצות עם שר הכלכלה ובאישור ועדת העבודה </w:t>
            </w:r>
            <w:r w:rsidR="00C1789C" w:rsidRPr="00096FFF">
              <w:rPr>
                <w:rFonts w:hint="cs"/>
                <w:rtl/>
              </w:rPr>
              <w:t>ו</w:t>
            </w:r>
            <w:r w:rsidRPr="00096FFF">
              <w:rPr>
                <w:rFonts w:hint="cs"/>
                <w:rtl/>
              </w:rPr>
              <w:t>הרווחה של הכנסת.</w:t>
            </w:r>
          </w:p>
        </w:tc>
      </w:tr>
      <w:tr w:rsidR="000E0A07" w:rsidRPr="00281F15" w14:paraId="5EDC4C6D" w14:textId="77777777" w:rsidTr="00096FFF">
        <w:tc>
          <w:tcPr>
            <w:tcW w:w="1871" w:type="dxa"/>
            <w:hideMark/>
          </w:tcPr>
          <w:p w14:paraId="17D470AE" w14:textId="77777777" w:rsidR="000E0A07" w:rsidRPr="00096FFF" w:rsidRDefault="000E0A07" w:rsidP="00096FFF">
            <w:pPr>
              <w:pStyle w:val="TableSideHeading"/>
              <w:outlineLvl w:val="9"/>
            </w:pPr>
            <w:r w:rsidRPr="00096FFF">
              <w:rPr>
                <w:rFonts w:hint="cs"/>
                <w:rtl/>
              </w:rPr>
              <w:t>קדימות במעונות יום</w:t>
            </w:r>
          </w:p>
        </w:tc>
        <w:tc>
          <w:tcPr>
            <w:tcW w:w="624" w:type="dxa"/>
            <w:hideMark/>
          </w:tcPr>
          <w:p w14:paraId="4BF38632" w14:textId="77777777" w:rsidR="000E0A07" w:rsidRPr="00096FFF" w:rsidRDefault="000E0A07" w:rsidP="00096FFF">
            <w:pPr>
              <w:pStyle w:val="TableText"/>
              <w:jc w:val="both"/>
            </w:pPr>
            <w:r w:rsidRPr="00096FFF">
              <w:rPr>
                <w:rFonts w:hint="cs"/>
                <w:rtl/>
              </w:rPr>
              <w:t>3.</w:t>
            </w:r>
          </w:p>
        </w:tc>
        <w:tc>
          <w:tcPr>
            <w:tcW w:w="7143" w:type="dxa"/>
            <w:gridSpan w:val="2"/>
            <w:hideMark/>
          </w:tcPr>
          <w:p w14:paraId="587014D6" w14:textId="19C9C9DE" w:rsidR="000E0A07" w:rsidRPr="00096FFF" w:rsidRDefault="000E0A07" w:rsidP="00096FFF">
            <w:pPr>
              <w:pStyle w:val="TableBlock"/>
            </w:pPr>
            <w:r w:rsidRPr="00096FFF">
              <w:rPr>
                <w:rFonts w:hint="cs"/>
                <w:rtl/>
              </w:rPr>
              <w:t xml:space="preserve">משפחה של עובדים מעוטי הכנסה זכאית לקדימות בקבלת ילדיה למעון יום; השר, בהסכמת שר האוצר ובאישור ועדת העבודה </w:t>
            </w:r>
            <w:r w:rsidR="00C1789C" w:rsidRPr="00096FFF">
              <w:rPr>
                <w:rFonts w:hint="cs"/>
                <w:rtl/>
              </w:rPr>
              <w:t>ו</w:t>
            </w:r>
            <w:r w:rsidRPr="00096FFF">
              <w:rPr>
                <w:rFonts w:hint="cs"/>
                <w:rtl/>
              </w:rPr>
              <w:t xml:space="preserve">הרווחה של הכנסת, יקבע בתקנות כללים מיוחדים לעניין התחשבות בהכנסה המשפחתית לעניין דמי </w:t>
            </w:r>
            <w:r w:rsidRPr="00096FFF">
              <w:rPr>
                <w:rFonts w:hint="cs"/>
                <w:rtl/>
              </w:rPr>
              <w:lastRenderedPageBreak/>
              <w:t>האחזקה במעון.</w:t>
            </w:r>
          </w:p>
        </w:tc>
      </w:tr>
      <w:tr w:rsidR="000E0A07" w:rsidRPr="00281F15" w14:paraId="563FFF68" w14:textId="77777777" w:rsidTr="00096FFF">
        <w:tc>
          <w:tcPr>
            <w:tcW w:w="1871" w:type="dxa"/>
            <w:hideMark/>
          </w:tcPr>
          <w:p w14:paraId="446CE703" w14:textId="77777777" w:rsidR="000E0A07" w:rsidRPr="00096FFF" w:rsidRDefault="000E0A07" w:rsidP="00096FFF">
            <w:pPr>
              <w:pStyle w:val="TableSideHeading"/>
            </w:pPr>
            <w:r w:rsidRPr="00096FFF">
              <w:rPr>
                <w:rFonts w:hint="cs"/>
                <w:rtl/>
              </w:rPr>
              <w:lastRenderedPageBreak/>
              <w:t>השתתפות בתוכניות המוצעות להורה עצמאי</w:t>
            </w:r>
          </w:p>
        </w:tc>
        <w:tc>
          <w:tcPr>
            <w:tcW w:w="624" w:type="dxa"/>
            <w:hideMark/>
          </w:tcPr>
          <w:p w14:paraId="20E729C5" w14:textId="77777777" w:rsidR="000E0A07" w:rsidRPr="00096FFF" w:rsidRDefault="000E0A07" w:rsidP="00096FFF">
            <w:pPr>
              <w:pStyle w:val="TableText"/>
              <w:jc w:val="both"/>
            </w:pPr>
            <w:r w:rsidRPr="00096FFF">
              <w:rPr>
                <w:rFonts w:hint="cs"/>
                <w:rtl/>
              </w:rPr>
              <w:t>4.</w:t>
            </w:r>
          </w:p>
        </w:tc>
        <w:tc>
          <w:tcPr>
            <w:tcW w:w="7143" w:type="dxa"/>
            <w:gridSpan w:val="2"/>
            <w:hideMark/>
          </w:tcPr>
          <w:p w14:paraId="5F3A2F93" w14:textId="77777777" w:rsidR="000E0A07" w:rsidRPr="00096FFF" w:rsidRDefault="000E0A07" w:rsidP="00096FFF">
            <w:pPr>
              <w:pStyle w:val="TableBlock"/>
            </w:pPr>
            <w:r w:rsidRPr="00096FFF">
              <w:rPr>
                <w:rFonts w:hint="cs"/>
                <w:rtl/>
              </w:rPr>
              <w:t>הורה במשפחה של עובדים מעוטי הכנסה זכאי להשתתף בכל תכנית לקידום תעסוקתי המוצעת על ידי המדינה להורה עצמאי, בין אם תכנית זו מוצעת להורים עצמם או כמסגרת לילדיהם; בסעיף זה, "הורה עצמאי" – כהגדרתו בחוק סיוע למשפחות שבראשן הורה עצמאי, התשנ"ב–1992</w:t>
            </w:r>
            <w:r w:rsidRPr="00096FFF">
              <w:rPr>
                <w:vertAlign w:val="superscript"/>
                <w:rtl/>
              </w:rPr>
              <w:footnoteReference w:id="4"/>
            </w:r>
            <w:r w:rsidRPr="00096FFF">
              <w:rPr>
                <w:rFonts w:hint="cs"/>
                <w:rtl/>
              </w:rPr>
              <w:t>.</w:t>
            </w:r>
          </w:p>
        </w:tc>
      </w:tr>
      <w:tr w:rsidR="000E0A07" w:rsidRPr="00281F15" w14:paraId="1832C10A" w14:textId="77777777" w:rsidTr="00096FFF">
        <w:tc>
          <w:tcPr>
            <w:tcW w:w="1871" w:type="dxa"/>
            <w:hideMark/>
          </w:tcPr>
          <w:p w14:paraId="70360CEC" w14:textId="77777777" w:rsidR="000E0A07" w:rsidRPr="00096FFF" w:rsidRDefault="000E0A07" w:rsidP="00096FFF">
            <w:pPr>
              <w:pStyle w:val="TableSideHeading"/>
            </w:pPr>
            <w:r w:rsidRPr="00096FFF">
              <w:rPr>
                <w:rFonts w:hint="cs"/>
                <w:rtl/>
              </w:rPr>
              <w:t>בית הדין לעבודה</w:t>
            </w:r>
          </w:p>
        </w:tc>
        <w:tc>
          <w:tcPr>
            <w:tcW w:w="624" w:type="dxa"/>
            <w:hideMark/>
          </w:tcPr>
          <w:p w14:paraId="649AB943" w14:textId="77777777" w:rsidR="000E0A07" w:rsidRPr="00096FFF" w:rsidRDefault="000E0A07" w:rsidP="00096FFF">
            <w:pPr>
              <w:pStyle w:val="TableText"/>
              <w:jc w:val="both"/>
            </w:pPr>
            <w:r w:rsidRPr="00096FFF">
              <w:rPr>
                <w:rFonts w:hint="cs"/>
                <w:rtl/>
              </w:rPr>
              <w:t>5.</w:t>
            </w:r>
          </w:p>
        </w:tc>
        <w:tc>
          <w:tcPr>
            <w:tcW w:w="7143" w:type="dxa"/>
            <w:gridSpan w:val="2"/>
            <w:hideMark/>
          </w:tcPr>
          <w:p w14:paraId="1EC21F2D" w14:textId="77777777" w:rsidR="000E0A07" w:rsidRPr="00096FFF" w:rsidRDefault="000E0A07" w:rsidP="00096FFF">
            <w:pPr>
              <w:pStyle w:val="TableBlock"/>
            </w:pPr>
            <w:r w:rsidRPr="00096FFF">
              <w:rPr>
                <w:rFonts w:hint="cs"/>
                <w:rtl/>
              </w:rPr>
              <w:t>לבית הדין לעבודה תהיה סמכות ייחודית לדון בכל תובענה הנובעת מחוק זה.</w:t>
            </w:r>
          </w:p>
        </w:tc>
      </w:tr>
      <w:tr w:rsidR="000E0A07" w:rsidRPr="00281F15" w14:paraId="4CC3F51B" w14:textId="77777777" w:rsidTr="00096FFF">
        <w:tc>
          <w:tcPr>
            <w:tcW w:w="1871" w:type="dxa"/>
            <w:hideMark/>
          </w:tcPr>
          <w:p w14:paraId="6E245F3E" w14:textId="77777777" w:rsidR="000E0A07" w:rsidRPr="00096FFF" w:rsidRDefault="000E0A07" w:rsidP="00096FFF">
            <w:pPr>
              <w:pStyle w:val="TableSideHeading"/>
            </w:pPr>
            <w:r w:rsidRPr="00096FFF">
              <w:rPr>
                <w:rFonts w:hint="cs"/>
                <w:rtl/>
              </w:rPr>
              <w:t>ביצוע ותקנות</w:t>
            </w:r>
          </w:p>
        </w:tc>
        <w:tc>
          <w:tcPr>
            <w:tcW w:w="624" w:type="dxa"/>
            <w:hideMark/>
          </w:tcPr>
          <w:p w14:paraId="0466B9B9" w14:textId="77777777" w:rsidR="000E0A07" w:rsidRPr="00096FFF" w:rsidRDefault="000E0A07" w:rsidP="00096FFF">
            <w:pPr>
              <w:pStyle w:val="TableText"/>
              <w:jc w:val="both"/>
            </w:pPr>
            <w:r w:rsidRPr="00096FFF">
              <w:rPr>
                <w:rFonts w:hint="cs"/>
                <w:rtl/>
              </w:rPr>
              <w:t>6.</w:t>
            </w:r>
          </w:p>
        </w:tc>
        <w:tc>
          <w:tcPr>
            <w:tcW w:w="7143" w:type="dxa"/>
            <w:gridSpan w:val="2"/>
            <w:hideMark/>
          </w:tcPr>
          <w:p w14:paraId="73EFACC5" w14:textId="6D520B35" w:rsidR="000E0A07" w:rsidRPr="00096FFF" w:rsidRDefault="000E0A07" w:rsidP="00096FFF">
            <w:pPr>
              <w:pStyle w:val="TableBlock"/>
            </w:pPr>
            <w:r w:rsidRPr="00096FFF">
              <w:rPr>
                <w:rFonts w:hint="cs"/>
                <w:rtl/>
              </w:rPr>
              <w:t>השר ממונה על ביצוע חוק זה והוא רשאי להתקין תקנות בכל עניין הנוגע לביצועו.</w:t>
            </w:r>
          </w:p>
        </w:tc>
      </w:tr>
      <w:tr w:rsidR="000E0A07" w:rsidRPr="00281F15" w14:paraId="629A7693" w14:textId="77777777" w:rsidTr="00096FFF">
        <w:tc>
          <w:tcPr>
            <w:tcW w:w="1871" w:type="dxa"/>
            <w:hideMark/>
          </w:tcPr>
          <w:p w14:paraId="149EEA3F" w14:textId="77777777" w:rsidR="000E0A07" w:rsidRPr="00096FFF" w:rsidRDefault="000E0A07" w:rsidP="00096FFF">
            <w:pPr>
              <w:pStyle w:val="TableSideHeading"/>
            </w:pPr>
            <w:r w:rsidRPr="00096FFF">
              <w:rPr>
                <w:rFonts w:hint="cs"/>
                <w:rtl/>
              </w:rPr>
              <w:t>תקנות ראשונות</w:t>
            </w:r>
          </w:p>
        </w:tc>
        <w:tc>
          <w:tcPr>
            <w:tcW w:w="624" w:type="dxa"/>
            <w:hideMark/>
          </w:tcPr>
          <w:p w14:paraId="2F8D39C5" w14:textId="77777777" w:rsidR="000E0A07" w:rsidRPr="00096FFF" w:rsidRDefault="000E0A07" w:rsidP="00096FFF">
            <w:pPr>
              <w:pStyle w:val="TableText"/>
              <w:jc w:val="both"/>
            </w:pPr>
            <w:r w:rsidRPr="00096FFF">
              <w:rPr>
                <w:rFonts w:hint="cs"/>
                <w:rtl/>
              </w:rPr>
              <w:t>7.</w:t>
            </w:r>
          </w:p>
        </w:tc>
        <w:tc>
          <w:tcPr>
            <w:tcW w:w="7143" w:type="dxa"/>
            <w:gridSpan w:val="2"/>
            <w:hideMark/>
          </w:tcPr>
          <w:p w14:paraId="57EE0DF6" w14:textId="7F84EDFB" w:rsidR="000E0A07" w:rsidRPr="00096FFF" w:rsidRDefault="000E0A07" w:rsidP="00096FFF">
            <w:pPr>
              <w:pStyle w:val="TableBlock"/>
            </w:pPr>
            <w:r w:rsidRPr="00096FFF">
              <w:rPr>
                <w:rFonts w:hint="cs"/>
                <w:rtl/>
              </w:rPr>
              <w:t xml:space="preserve">תקנות ראשונות בהתאם להוראות סעיפים 2 ו-3, יובאו לאישור ועדת העבודה </w:t>
            </w:r>
            <w:r w:rsidR="00C1789C" w:rsidRPr="00096FFF">
              <w:rPr>
                <w:rFonts w:hint="cs"/>
                <w:rtl/>
              </w:rPr>
              <w:t>ו</w:t>
            </w:r>
            <w:r w:rsidRPr="00096FFF">
              <w:rPr>
                <w:rFonts w:hint="cs"/>
                <w:rtl/>
              </w:rPr>
              <w:t>הרווחה של הכנסת בתוך שישה חודשים מיום תחילתו של חוק זה.</w:t>
            </w:r>
          </w:p>
        </w:tc>
      </w:tr>
      <w:tr w:rsidR="000E0A07" w:rsidRPr="00281F15" w14:paraId="1016BF56" w14:textId="77777777" w:rsidTr="00096FFF">
        <w:tc>
          <w:tcPr>
            <w:tcW w:w="1871" w:type="dxa"/>
            <w:hideMark/>
          </w:tcPr>
          <w:p w14:paraId="5AC3C7EF" w14:textId="77777777" w:rsidR="000E0A07" w:rsidRPr="00096FFF" w:rsidRDefault="000E0A07" w:rsidP="00096FFF">
            <w:pPr>
              <w:pStyle w:val="TableSideHeading"/>
            </w:pPr>
            <w:r w:rsidRPr="00096FFF">
              <w:rPr>
                <w:rFonts w:hint="cs"/>
                <w:rtl/>
              </w:rPr>
              <w:t>שמירת דינים</w:t>
            </w:r>
          </w:p>
        </w:tc>
        <w:tc>
          <w:tcPr>
            <w:tcW w:w="624" w:type="dxa"/>
            <w:hideMark/>
          </w:tcPr>
          <w:p w14:paraId="23D9F032" w14:textId="77777777" w:rsidR="000E0A07" w:rsidRPr="00096FFF" w:rsidRDefault="000E0A07" w:rsidP="00096FFF">
            <w:pPr>
              <w:pStyle w:val="TableText"/>
              <w:jc w:val="both"/>
            </w:pPr>
            <w:r w:rsidRPr="00096FFF">
              <w:rPr>
                <w:rFonts w:hint="cs"/>
                <w:rtl/>
              </w:rPr>
              <w:t>8.</w:t>
            </w:r>
          </w:p>
        </w:tc>
        <w:tc>
          <w:tcPr>
            <w:tcW w:w="7143" w:type="dxa"/>
            <w:gridSpan w:val="2"/>
            <w:hideMark/>
          </w:tcPr>
          <w:p w14:paraId="7AE075DE" w14:textId="77777777" w:rsidR="000E0A07" w:rsidRPr="00096FFF" w:rsidRDefault="000E0A07" w:rsidP="00096FFF">
            <w:pPr>
              <w:pStyle w:val="TableBlock"/>
            </w:pPr>
            <w:r w:rsidRPr="00096FFF">
              <w:rPr>
                <w:rFonts w:hint="cs"/>
                <w:rtl/>
              </w:rPr>
              <w:t>אין בחוק זה כדי לגרוע מזכות הקבועה בדין למי שזכאי להטבה לפי חוק זה.</w:t>
            </w:r>
          </w:p>
        </w:tc>
      </w:tr>
      <w:tr w:rsidR="000E0A07" w:rsidRPr="00281F15" w14:paraId="441D5A92" w14:textId="77777777" w:rsidTr="00096FFF">
        <w:tc>
          <w:tcPr>
            <w:tcW w:w="1871" w:type="dxa"/>
            <w:hideMark/>
          </w:tcPr>
          <w:p w14:paraId="53B6F91E" w14:textId="77777777" w:rsidR="000E0A07" w:rsidRPr="00096FFF" w:rsidRDefault="000E0A07" w:rsidP="00096FFF">
            <w:pPr>
              <w:pStyle w:val="TableSideHeading"/>
            </w:pPr>
            <w:r w:rsidRPr="00096FFF">
              <w:rPr>
                <w:rFonts w:hint="cs"/>
                <w:rtl/>
              </w:rPr>
              <w:t xml:space="preserve">תיקון חוק הביטוח הלאומי </w:t>
            </w:r>
          </w:p>
        </w:tc>
        <w:tc>
          <w:tcPr>
            <w:tcW w:w="624" w:type="dxa"/>
            <w:hideMark/>
          </w:tcPr>
          <w:p w14:paraId="2D7FDA8D" w14:textId="77777777" w:rsidR="000E0A07" w:rsidRPr="00096FFF" w:rsidRDefault="000E0A07" w:rsidP="00096FFF">
            <w:pPr>
              <w:pStyle w:val="TableText"/>
              <w:jc w:val="both"/>
            </w:pPr>
            <w:r w:rsidRPr="00096FFF">
              <w:rPr>
                <w:rFonts w:hint="cs"/>
                <w:rtl/>
              </w:rPr>
              <w:t>9.</w:t>
            </w:r>
          </w:p>
        </w:tc>
        <w:tc>
          <w:tcPr>
            <w:tcW w:w="7143" w:type="dxa"/>
            <w:gridSpan w:val="2"/>
            <w:hideMark/>
          </w:tcPr>
          <w:p w14:paraId="1CF02738" w14:textId="77777777" w:rsidR="000E0A07" w:rsidRPr="00096FFF" w:rsidRDefault="000E0A07" w:rsidP="00096FFF">
            <w:pPr>
              <w:pStyle w:val="TableBlock"/>
            </w:pPr>
            <w:r w:rsidRPr="00096FFF">
              <w:rPr>
                <w:rFonts w:hint="cs"/>
                <w:rtl/>
              </w:rPr>
              <w:t>בחוק הביטוח הלאומי [נוסח משולב], התשנ"ה–1995</w:t>
            </w:r>
            <w:r w:rsidRPr="00096FFF">
              <w:rPr>
                <w:vertAlign w:val="superscript"/>
                <w:rtl/>
              </w:rPr>
              <w:footnoteReference w:id="5"/>
            </w:r>
            <w:r w:rsidRPr="00096FFF">
              <w:rPr>
                <w:rFonts w:hint="cs"/>
                <w:rtl/>
              </w:rPr>
              <w:t>, בסעיף 74 –</w:t>
            </w:r>
          </w:p>
        </w:tc>
      </w:tr>
      <w:tr w:rsidR="000E0A07" w:rsidRPr="00281F15" w14:paraId="2A850A31" w14:textId="77777777" w:rsidTr="00096FFF">
        <w:tc>
          <w:tcPr>
            <w:tcW w:w="1871" w:type="dxa"/>
          </w:tcPr>
          <w:p w14:paraId="35287AF7" w14:textId="77777777" w:rsidR="000E0A07" w:rsidRPr="00096FFF" w:rsidRDefault="000E0A07" w:rsidP="00096FFF">
            <w:pPr>
              <w:pStyle w:val="TableSideHeading"/>
              <w:outlineLvl w:val="9"/>
            </w:pPr>
          </w:p>
        </w:tc>
        <w:tc>
          <w:tcPr>
            <w:tcW w:w="624" w:type="dxa"/>
          </w:tcPr>
          <w:p w14:paraId="6D022D18" w14:textId="77777777" w:rsidR="000E0A07" w:rsidRPr="00096FFF" w:rsidRDefault="000E0A07" w:rsidP="00096FFF">
            <w:pPr>
              <w:pStyle w:val="TableText"/>
              <w:jc w:val="both"/>
            </w:pPr>
          </w:p>
        </w:tc>
        <w:tc>
          <w:tcPr>
            <w:tcW w:w="7143" w:type="dxa"/>
            <w:gridSpan w:val="2"/>
            <w:hideMark/>
          </w:tcPr>
          <w:p w14:paraId="0788E9FC" w14:textId="77777777" w:rsidR="000E0A07" w:rsidRPr="00096FFF" w:rsidRDefault="000E0A07" w:rsidP="00096FFF">
            <w:pPr>
              <w:pStyle w:val="TableBlock"/>
            </w:pPr>
            <w:r w:rsidRPr="00096FFF">
              <w:rPr>
                <w:rFonts w:hint="cs"/>
                <w:rtl/>
              </w:rPr>
              <w:t>(1)</w:t>
            </w:r>
            <w:r w:rsidRPr="00096FFF">
              <w:rPr>
                <w:rFonts w:hint="cs"/>
                <w:rtl/>
              </w:rPr>
              <w:tab/>
              <w:t>בסעיף קטן (א), אחרי ההגדרה "הורה עצמאי" יבוא:</w:t>
            </w:r>
          </w:p>
        </w:tc>
      </w:tr>
      <w:tr w:rsidR="007C5EA8" w:rsidRPr="007C5EA8" w14:paraId="4F7E5FED" w14:textId="77777777" w:rsidTr="00096FFF">
        <w:tc>
          <w:tcPr>
            <w:tcW w:w="1871" w:type="dxa"/>
          </w:tcPr>
          <w:p w14:paraId="4CE4C2A1" w14:textId="77777777" w:rsidR="007C5EA8" w:rsidRPr="00096FFF" w:rsidRDefault="007C5EA8" w:rsidP="00096FFF">
            <w:pPr>
              <w:pStyle w:val="TableSideHeading"/>
              <w:outlineLvl w:val="9"/>
            </w:pPr>
          </w:p>
        </w:tc>
        <w:tc>
          <w:tcPr>
            <w:tcW w:w="624" w:type="dxa"/>
          </w:tcPr>
          <w:p w14:paraId="7F0B899A" w14:textId="77777777" w:rsidR="007C5EA8" w:rsidRPr="00096FFF" w:rsidRDefault="007C5EA8" w:rsidP="00096FFF">
            <w:pPr>
              <w:pStyle w:val="TableText"/>
              <w:jc w:val="both"/>
            </w:pPr>
          </w:p>
        </w:tc>
        <w:tc>
          <w:tcPr>
            <w:tcW w:w="624" w:type="dxa"/>
          </w:tcPr>
          <w:p w14:paraId="5027FDE9" w14:textId="414CC9DF" w:rsidR="007C5EA8" w:rsidRPr="00096FFF" w:rsidRDefault="007C5EA8" w:rsidP="00096FFF">
            <w:pPr>
              <w:pStyle w:val="TableText"/>
              <w:jc w:val="both"/>
            </w:pPr>
          </w:p>
        </w:tc>
        <w:tc>
          <w:tcPr>
            <w:tcW w:w="6519" w:type="dxa"/>
          </w:tcPr>
          <w:p w14:paraId="78AAE775" w14:textId="13F8D32A" w:rsidR="007C5EA8" w:rsidRPr="007C5EA8" w:rsidRDefault="007C5EA8" w:rsidP="00096FFF">
            <w:pPr>
              <w:pStyle w:val="TableBlockOutdent"/>
            </w:pPr>
            <w:r w:rsidRPr="007C5EA8">
              <w:rPr>
                <w:rFonts w:hint="cs"/>
                <w:rtl/>
              </w:rPr>
              <w:t>""</w:t>
            </w:r>
            <w:r w:rsidRPr="00096FFF">
              <w:rPr>
                <w:rFonts w:hint="cs"/>
                <w:rtl/>
              </w:rPr>
              <w:t>משפחה</w:t>
            </w:r>
            <w:r w:rsidRPr="007C5EA8">
              <w:rPr>
                <w:rFonts w:hint="cs"/>
                <w:rtl/>
              </w:rPr>
              <w:t xml:space="preserve"> של עובדים מעוטי הכנסה" – כהגדרתה בחוק סיוע בקידום תעסוקתי למשפחות של עובדים מעוטי הכנסה, התש</w:t>
            </w:r>
            <w:r>
              <w:rPr>
                <w:rFonts w:hint="cs"/>
                <w:rtl/>
              </w:rPr>
              <w:t>פ"ב</w:t>
            </w:r>
            <w:r w:rsidRPr="007C5EA8">
              <w:rPr>
                <w:rFonts w:hint="cs"/>
                <w:rtl/>
              </w:rPr>
              <w:t>–</w:t>
            </w:r>
            <w:r>
              <w:rPr>
                <w:rFonts w:hint="cs"/>
                <w:rtl/>
              </w:rPr>
              <w:t>2022</w:t>
            </w:r>
            <w:r w:rsidRPr="007C5EA8">
              <w:rPr>
                <w:rFonts w:hint="cs"/>
                <w:rtl/>
              </w:rPr>
              <w:t>;";</w:t>
            </w:r>
          </w:p>
        </w:tc>
      </w:tr>
      <w:tr w:rsidR="000E0A07" w:rsidRPr="00281F15" w14:paraId="5DACCF41" w14:textId="77777777" w:rsidTr="00096FFF">
        <w:tc>
          <w:tcPr>
            <w:tcW w:w="1871" w:type="dxa"/>
          </w:tcPr>
          <w:p w14:paraId="3E32DAA5" w14:textId="77777777" w:rsidR="000E0A07" w:rsidRPr="00096FFF" w:rsidRDefault="000E0A07" w:rsidP="00096FFF">
            <w:pPr>
              <w:pStyle w:val="TableSideHeading"/>
              <w:outlineLvl w:val="9"/>
            </w:pPr>
          </w:p>
        </w:tc>
        <w:tc>
          <w:tcPr>
            <w:tcW w:w="624" w:type="dxa"/>
          </w:tcPr>
          <w:p w14:paraId="3FFAB3B9" w14:textId="77777777" w:rsidR="000E0A07" w:rsidRPr="00096FFF" w:rsidRDefault="000E0A07" w:rsidP="00096FFF">
            <w:pPr>
              <w:pStyle w:val="TableText"/>
              <w:jc w:val="both"/>
            </w:pPr>
          </w:p>
        </w:tc>
        <w:tc>
          <w:tcPr>
            <w:tcW w:w="7143" w:type="dxa"/>
            <w:gridSpan w:val="2"/>
            <w:hideMark/>
          </w:tcPr>
          <w:p w14:paraId="0FCD9A80" w14:textId="77777777" w:rsidR="000E0A07" w:rsidRPr="00096FFF" w:rsidRDefault="000E0A07" w:rsidP="00096FFF">
            <w:pPr>
              <w:pStyle w:val="TableBlockOutdent"/>
            </w:pPr>
            <w:r w:rsidRPr="00096FFF">
              <w:rPr>
                <w:rFonts w:hint="cs"/>
                <w:rtl/>
              </w:rPr>
              <w:t>(2)</w:t>
            </w:r>
            <w:r w:rsidRPr="00096FFF">
              <w:rPr>
                <w:rFonts w:hint="cs"/>
                <w:rtl/>
              </w:rPr>
              <w:tab/>
              <w:t>בסעיף קטן (ב)(1), אחרי פסקת משנה (ה) יבוא:</w:t>
            </w:r>
          </w:p>
        </w:tc>
      </w:tr>
      <w:tr w:rsidR="000E0A07" w:rsidRPr="00281F15" w14:paraId="3EC95458" w14:textId="77777777" w:rsidTr="00096FFF">
        <w:tc>
          <w:tcPr>
            <w:tcW w:w="1871" w:type="dxa"/>
          </w:tcPr>
          <w:p w14:paraId="4997D7A4" w14:textId="77777777" w:rsidR="000E0A07" w:rsidRPr="00096FFF" w:rsidRDefault="000E0A07" w:rsidP="00096FFF">
            <w:pPr>
              <w:pStyle w:val="TableSideHeading"/>
              <w:outlineLvl w:val="9"/>
            </w:pPr>
          </w:p>
        </w:tc>
        <w:tc>
          <w:tcPr>
            <w:tcW w:w="624" w:type="dxa"/>
          </w:tcPr>
          <w:p w14:paraId="61387F0D" w14:textId="77777777" w:rsidR="000E0A07" w:rsidRPr="00096FFF" w:rsidRDefault="000E0A07" w:rsidP="00096FFF">
            <w:pPr>
              <w:pStyle w:val="TableText"/>
              <w:jc w:val="both"/>
            </w:pPr>
          </w:p>
        </w:tc>
        <w:tc>
          <w:tcPr>
            <w:tcW w:w="624" w:type="dxa"/>
          </w:tcPr>
          <w:p w14:paraId="4F6EF2B5" w14:textId="77777777" w:rsidR="000E0A07" w:rsidRPr="00096FFF" w:rsidRDefault="000E0A07" w:rsidP="00096FFF">
            <w:pPr>
              <w:pStyle w:val="TableText"/>
              <w:jc w:val="both"/>
            </w:pPr>
          </w:p>
        </w:tc>
        <w:tc>
          <w:tcPr>
            <w:tcW w:w="6519" w:type="dxa"/>
            <w:hideMark/>
          </w:tcPr>
          <w:p w14:paraId="6E61F38D" w14:textId="77777777" w:rsidR="000E0A07" w:rsidRPr="00096FFF" w:rsidRDefault="000E0A07" w:rsidP="00096FFF">
            <w:pPr>
              <w:pStyle w:val="TableBlock"/>
            </w:pPr>
            <w:r w:rsidRPr="00096FFF">
              <w:rPr>
                <w:rFonts w:hint="cs"/>
                <w:rtl/>
              </w:rPr>
              <w:t>"(ו)</w:t>
            </w:r>
            <w:r w:rsidRPr="00096FFF">
              <w:rPr>
                <w:rFonts w:hint="cs"/>
                <w:rtl/>
              </w:rPr>
              <w:tab/>
              <w:t>הורה במשפחה של עובדים מעוטי הכנסה, בעד כל אחד מילדיו, ובלבד שלא שולמה גמלה להורה השני באותה משפחה;".</w:t>
            </w:r>
          </w:p>
        </w:tc>
      </w:tr>
    </w:tbl>
    <w:p w14:paraId="4CB59201" w14:textId="77777777" w:rsidR="000E0A07" w:rsidRDefault="000E0A07" w:rsidP="000E0A07">
      <w:pPr>
        <w:pStyle w:val="HeadDivreiHesber"/>
        <w:rPr>
          <w:rtl/>
        </w:rPr>
      </w:pPr>
      <w:r w:rsidRPr="0027450A">
        <w:rPr>
          <w:rFonts w:hint="cs"/>
          <w:rtl/>
        </w:rPr>
        <w:t>דברי הסבר</w:t>
      </w:r>
    </w:p>
    <w:p w14:paraId="6CAF08A0" w14:textId="6BE9DC59" w:rsidR="000E0A07" w:rsidRPr="003C3276" w:rsidRDefault="000E0A07" w:rsidP="00D9240D">
      <w:pPr>
        <w:pStyle w:val="Hesber"/>
        <w:rPr>
          <w:rtl/>
        </w:rPr>
      </w:pPr>
      <w:r>
        <w:rPr>
          <w:rFonts w:hint="cs"/>
          <w:rtl/>
        </w:rPr>
        <w:t>מטרת הצעת חוק זו היא לתת</w:t>
      </w:r>
      <w:r w:rsidRPr="003C3276">
        <w:rPr>
          <w:rFonts w:hint="cs"/>
          <w:rtl/>
        </w:rPr>
        <w:t xml:space="preserve"> מענה לסוגיה שעד עתה </w:t>
      </w:r>
      <w:r w:rsidR="00C1789C">
        <w:rPr>
          <w:rFonts w:hint="cs"/>
          <w:rtl/>
        </w:rPr>
        <w:t>"</w:t>
      </w:r>
      <w:r w:rsidRPr="003C3276">
        <w:rPr>
          <w:rFonts w:hint="cs"/>
          <w:rtl/>
        </w:rPr>
        <w:t>נפלה בין הכיסאות</w:t>
      </w:r>
      <w:r>
        <w:rPr>
          <w:rFonts w:hint="cs"/>
          <w:rtl/>
        </w:rPr>
        <w:t>"</w:t>
      </w:r>
      <w:r w:rsidR="00E0011D">
        <w:rPr>
          <w:rFonts w:hint="cs"/>
          <w:rtl/>
        </w:rPr>
        <w:t>,</w:t>
      </w:r>
      <w:r w:rsidRPr="003C3276">
        <w:rPr>
          <w:rFonts w:hint="cs"/>
          <w:rtl/>
        </w:rPr>
        <w:t xml:space="preserve"> והיא מצוקתם של משפחות אשר אחד מבני הזוג מועסק, אך אין בשכרו כדי לאפשר למשפחה לחיות בכבוד. במקרים אלה, מצויה המשפחה במצוקה קשה: מחד, היא נמצאת בקשיי פרנסה מהותיים</w:t>
      </w:r>
      <w:r w:rsidR="00E0011D">
        <w:rPr>
          <w:rFonts w:hint="cs"/>
          <w:rtl/>
        </w:rPr>
        <w:t>,</w:t>
      </w:r>
      <w:r w:rsidRPr="003C3276">
        <w:rPr>
          <w:rFonts w:hint="cs"/>
          <w:rtl/>
        </w:rPr>
        <w:t xml:space="preserve"> ומאידך, בן הזוג שאינו עובד אינו יכול למצוא עבודה גם הוא – בין אם עקב חוסר הכשרה, ובין </w:t>
      </w:r>
      <w:r w:rsidR="00C1789C">
        <w:rPr>
          <w:rFonts w:hint="cs"/>
          <w:rtl/>
        </w:rPr>
        <w:t xml:space="preserve">אם </w:t>
      </w:r>
      <w:r w:rsidRPr="003C3276">
        <w:rPr>
          <w:rFonts w:hint="cs"/>
          <w:rtl/>
        </w:rPr>
        <w:t>בשל הצורך לטפל בילדים. למעשה, משפחה שכזו מצויה באותם קשיים שבהן מצויות משפחות חד-הוריות רבות</w:t>
      </w:r>
      <w:r>
        <w:rPr>
          <w:rFonts w:hint="cs"/>
          <w:rtl/>
        </w:rPr>
        <w:t>:</w:t>
      </w:r>
      <w:r w:rsidRPr="003C3276">
        <w:rPr>
          <w:rFonts w:hint="cs"/>
          <w:rtl/>
        </w:rPr>
        <w:t xml:space="preserve"> ובראשם הדילמה בין הצורך לטפל בילדים </w:t>
      </w:r>
      <w:r>
        <w:rPr>
          <w:rFonts w:hint="cs"/>
          <w:rtl/>
        </w:rPr>
        <w:t>ל</w:t>
      </w:r>
      <w:r w:rsidRPr="003C3276">
        <w:rPr>
          <w:rFonts w:hint="cs"/>
          <w:rtl/>
        </w:rPr>
        <w:t xml:space="preserve">בין הצורך לצאת לעבודה. על כן, מוצע להשוות את מעמדן של משפחות של עובדים </w:t>
      </w:r>
      <w:r>
        <w:rPr>
          <w:rFonts w:hint="cs"/>
          <w:rtl/>
        </w:rPr>
        <w:t>מעוטי הכנסה למעמדן של משפחות חד-</w:t>
      </w:r>
      <w:r w:rsidRPr="003C3276">
        <w:rPr>
          <w:rFonts w:hint="cs"/>
          <w:rtl/>
        </w:rPr>
        <w:t xml:space="preserve">הוריות, בכל הקשור לסיוע בקידום תעסוקתי על ידי </w:t>
      </w:r>
      <w:r w:rsidRPr="003C3276">
        <w:rPr>
          <w:rFonts w:hint="cs"/>
          <w:rtl/>
        </w:rPr>
        <w:lastRenderedPageBreak/>
        <w:t xml:space="preserve">המדינה. </w:t>
      </w:r>
    </w:p>
    <w:p w14:paraId="11EAE148" w14:textId="77777777" w:rsidR="000E0A07" w:rsidRPr="005E644D" w:rsidRDefault="000E0A07" w:rsidP="000E0A07">
      <w:pPr>
        <w:pStyle w:val="Hesber"/>
        <w:rPr>
          <w:rtl/>
        </w:rPr>
      </w:pPr>
      <w:r w:rsidRPr="005E644D">
        <w:rPr>
          <w:rFonts w:hint="cs"/>
          <w:rtl/>
        </w:rPr>
        <w:t>במקרים נדירים, שני ההורים עובדים, אך עדיין אין בידם להשתכר יחדיו באופן ראוי. מוצע כי גם משפחות כאלה ייחשבו כמשפחות של עובדים עניים, וגם הן תהיינה זכאיות לסיוע בקידום תעסוקתי באופן זהה למשפחות חד</w:t>
      </w:r>
      <w:r>
        <w:rPr>
          <w:rFonts w:hint="cs"/>
          <w:rtl/>
        </w:rPr>
        <w:t>-</w:t>
      </w:r>
      <w:r w:rsidRPr="005E644D">
        <w:rPr>
          <w:rFonts w:hint="cs"/>
          <w:rtl/>
        </w:rPr>
        <w:t>הוריות. אילו ההטבות המוצעות היו מוגבלות אך ורק למצב בו רק אחד מההורים עובדים, הרי שעלולה הי</w:t>
      </w:r>
      <w:r>
        <w:rPr>
          <w:rFonts w:hint="cs"/>
          <w:rtl/>
        </w:rPr>
        <w:t>י</w:t>
      </w:r>
      <w:r w:rsidRPr="005E644D">
        <w:rPr>
          <w:rFonts w:hint="cs"/>
          <w:rtl/>
        </w:rPr>
        <w:t xml:space="preserve">תה להיווצר אנומליה, ולפיה משפחות ובהן הורה אחד עובד היו זכאיות לסיוע – ואילו משפחות בהן שני ההורים עובדים, אפילו אם הכנסתן הכוללת פחותה ממשפחה בה רק הורה אחד עובד, לא היו זכאיות לכך. מובן שזוהי תוצאה בלתי הוגנת ולא רצויה. </w:t>
      </w:r>
    </w:p>
    <w:p w14:paraId="7AD14412" w14:textId="77777777" w:rsidR="000E0A07" w:rsidRPr="005E644D" w:rsidRDefault="000E0A07" w:rsidP="000E0A07">
      <w:pPr>
        <w:pStyle w:val="Hesber"/>
        <w:rPr>
          <w:rtl/>
        </w:rPr>
      </w:pPr>
      <w:r w:rsidRPr="009D682C">
        <w:rPr>
          <w:rFonts w:hint="cs"/>
          <w:b/>
          <w:bCs/>
          <w:rtl/>
        </w:rPr>
        <w:t>סעיף 1</w:t>
      </w:r>
      <w:r>
        <w:rPr>
          <w:rFonts w:hint="cs"/>
          <w:rtl/>
        </w:rPr>
        <w:t xml:space="preserve"> –</w:t>
      </w:r>
      <w:r w:rsidRPr="005E644D">
        <w:rPr>
          <w:rFonts w:hint="cs"/>
          <w:rtl/>
        </w:rPr>
        <w:t xml:space="preserve">  מוצע להגדיר "משפחה של עובדים מעוטי הכנסה" כמשפחה אשר הכנסותיה הכוללות אינן עולות על השכר הממוצע במשק – וזאת בין אם ההכנסות מתקבלות מאחד מבני הזוג (למשל, במצב שבו רק אחד מבני הזוג עובד), ובין אם משניהם גם יחד (למשל, כאשר שני בני הזוג עובדים, אך הכנסותיהם יחדיו אינן עולות על השכר הממוצע במשק).  </w:t>
      </w:r>
    </w:p>
    <w:p w14:paraId="492D5A3A" w14:textId="77777777" w:rsidR="000E0A07" w:rsidRPr="005E644D" w:rsidRDefault="000E0A07" w:rsidP="000E0A07">
      <w:pPr>
        <w:pStyle w:val="Hesber"/>
        <w:rPr>
          <w:rtl/>
        </w:rPr>
      </w:pPr>
      <w:r w:rsidRPr="009D682C">
        <w:rPr>
          <w:rFonts w:hint="cs"/>
          <w:b/>
          <w:bCs/>
          <w:rtl/>
        </w:rPr>
        <w:t>סעיף 2</w:t>
      </w:r>
      <w:r>
        <w:rPr>
          <w:rFonts w:hint="cs"/>
          <w:rtl/>
        </w:rPr>
        <w:t xml:space="preserve"> –</w:t>
      </w:r>
      <w:r w:rsidRPr="005E644D">
        <w:rPr>
          <w:rFonts w:hint="cs"/>
          <w:rtl/>
        </w:rPr>
        <w:t xml:space="preserve">  מוצע כי הורה במשפחה של עובדים מעוטי הכנסה יהיה זכאי לקדימות בהכשרה מקצועית, וכך יוקל בידו לרכוש מקצוע ולהגדיל את ההכנסה המשפחתית.</w:t>
      </w:r>
    </w:p>
    <w:p w14:paraId="6BEB4E4A" w14:textId="77777777" w:rsidR="000E0A07" w:rsidRPr="005E644D" w:rsidRDefault="000E0A07" w:rsidP="000E0A07">
      <w:pPr>
        <w:pStyle w:val="Hesber"/>
        <w:rPr>
          <w:rtl/>
        </w:rPr>
      </w:pPr>
      <w:r w:rsidRPr="009D682C">
        <w:rPr>
          <w:rFonts w:hint="cs"/>
          <w:b/>
          <w:bCs/>
          <w:rtl/>
        </w:rPr>
        <w:t>סעיף 3</w:t>
      </w:r>
      <w:r w:rsidRPr="005E644D">
        <w:rPr>
          <w:rFonts w:hint="cs"/>
          <w:rtl/>
        </w:rPr>
        <w:t xml:space="preserve"> </w:t>
      </w:r>
      <w:r>
        <w:rPr>
          <w:rFonts w:hint="eastAsia"/>
          <w:rtl/>
        </w:rPr>
        <w:t>–</w:t>
      </w:r>
      <w:r w:rsidRPr="005E644D">
        <w:rPr>
          <w:rFonts w:hint="cs"/>
          <w:rtl/>
        </w:rPr>
        <w:t xml:space="preserve"> מוצע כי תינתן קדימות לילדי משפחות של עובדים מעוטי הכנסה בקבלה למעונות יום; כך, יוכלו ההורים להתפנות לעבודה על מנת לצאת ממעגל העוני. </w:t>
      </w:r>
    </w:p>
    <w:p w14:paraId="3D276A50" w14:textId="77777777" w:rsidR="000E0A07" w:rsidRPr="005E644D" w:rsidRDefault="000E0A07" w:rsidP="000E0A07">
      <w:pPr>
        <w:pStyle w:val="Hesber"/>
        <w:rPr>
          <w:rtl/>
        </w:rPr>
      </w:pPr>
      <w:r w:rsidRPr="009D682C">
        <w:rPr>
          <w:rFonts w:hint="cs"/>
          <w:b/>
          <w:bCs/>
          <w:rtl/>
        </w:rPr>
        <w:t>סעיף 4</w:t>
      </w:r>
      <w:r w:rsidRPr="005E644D">
        <w:rPr>
          <w:rFonts w:hint="cs"/>
          <w:rtl/>
        </w:rPr>
        <w:t xml:space="preserve"> </w:t>
      </w:r>
      <w:r>
        <w:rPr>
          <w:rFonts w:hint="eastAsia"/>
          <w:rtl/>
        </w:rPr>
        <w:t>–</w:t>
      </w:r>
      <w:r w:rsidRPr="005E644D">
        <w:rPr>
          <w:rFonts w:hint="cs"/>
          <w:rtl/>
        </w:rPr>
        <w:t xml:space="preserve"> מוצע כי הורים במשפחות של עובדים מעוטי הכנסה יוכלו להשתתף בכל תכנית מטעם המדינה, אשר מיועדת לקידומם התעסוקתי של הורים</w:t>
      </w:r>
      <w:r>
        <w:rPr>
          <w:rFonts w:hint="cs"/>
          <w:rtl/>
        </w:rPr>
        <w:t xml:space="preserve"> </w:t>
      </w:r>
      <w:r w:rsidRPr="005E644D">
        <w:rPr>
          <w:rFonts w:hint="cs"/>
          <w:rtl/>
        </w:rPr>
        <w:t>יחידים, בין אם התכנית מיועדת לקידומם האישי של ההורים, ובין אם מדובר בתכנית אשר מוצעת כמסגרת לילדיהם. סעיף זה ה</w:t>
      </w:r>
      <w:r>
        <w:rPr>
          <w:rFonts w:hint="cs"/>
          <w:rtl/>
        </w:rPr>
        <w:t>וא</w:t>
      </w:r>
      <w:r w:rsidRPr="005E644D">
        <w:rPr>
          <w:rFonts w:hint="cs"/>
          <w:rtl/>
        </w:rPr>
        <w:t xml:space="preserve"> מעין "סעיף סל", אשר נועד לאפשר את שילובן של משפחות של עובדים עניים בתכניות קיימות.</w:t>
      </w:r>
    </w:p>
    <w:p w14:paraId="2C265B9A" w14:textId="77777777" w:rsidR="000E0A07" w:rsidRPr="005E644D" w:rsidRDefault="000E0A07" w:rsidP="000E0A07">
      <w:pPr>
        <w:pStyle w:val="Hesber"/>
        <w:rPr>
          <w:rtl/>
        </w:rPr>
      </w:pPr>
      <w:r w:rsidRPr="009D682C">
        <w:rPr>
          <w:rFonts w:hint="cs"/>
          <w:b/>
          <w:bCs/>
          <w:rtl/>
        </w:rPr>
        <w:t xml:space="preserve">סעיף </w:t>
      </w:r>
      <w:r>
        <w:rPr>
          <w:rFonts w:hint="cs"/>
          <w:b/>
          <w:bCs/>
          <w:rtl/>
        </w:rPr>
        <w:t>9</w:t>
      </w:r>
      <w:r w:rsidRPr="005E644D">
        <w:rPr>
          <w:rFonts w:hint="cs"/>
          <w:rtl/>
        </w:rPr>
        <w:t xml:space="preserve"> </w:t>
      </w:r>
      <w:r>
        <w:rPr>
          <w:rFonts w:hint="eastAsia"/>
          <w:rtl/>
        </w:rPr>
        <w:t>–</w:t>
      </w:r>
      <w:r w:rsidRPr="005E644D">
        <w:rPr>
          <w:rFonts w:hint="cs"/>
          <w:rtl/>
        </w:rPr>
        <w:t xml:space="preserve"> מוצע כי מענק הלימודים הניתן מכוח סעיף 74 לחוק הביטוח הלאומי [נוסח משולב], התשנ"ה–1995, יינתן גם לאחד ההורים במשפחה של עובדים מעוטי הכנסה, כהשוואה לסיוע הניתן למשפחות חד-הוריות.</w:t>
      </w:r>
    </w:p>
    <w:p w14:paraId="5694E2EF" w14:textId="77777777" w:rsidR="000E0A07" w:rsidRDefault="000E0A07" w:rsidP="000E0A07">
      <w:pPr>
        <w:pStyle w:val="Hesber"/>
        <w:rPr>
          <w:rtl/>
        </w:rPr>
      </w:pPr>
      <w:r w:rsidRPr="005E644D">
        <w:rPr>
          <w:rFonts w:hint="cs"/>
          <w:rtl/>
        </w:rPr>
        <w:t>הצעות חוק דומות בעיקרן הונחו על שולחן הכנסת השמונה-עשרה על ידי חבר הכנסת דב חנין וקבוצת חברי הכנסת (פ/2450/18) ו</w:t>
      </w:r>
      <w:r w:rsidRPr="005E644D">
        <w:rPr>
          <w:rtl/>
        </w:rPr>
        <w:t>על ידי חבר</w:t>
      </w:r>
      <w:r w:rsidRPr="005E644D">
        <w:rPr>
          <w:rFonts w:hint="cs"/>
          <w:rtl/>
        </w:rPr>
        <w:t>י</w:t>
      </w:r>
      <w:r w:rsidRPr="005E644D">
        <w:rPr>
          <w:rtl/>
        </w:rPr>
        <w:t xml:space="preserve"> הכנסת </w:t>
      </w:r>
      <w:r w:rsidRPr="005E644D">
        <w:rPr>
          <w:rFonts w:hint="cs"/>
          <w:rtl/>
        </w:rPr>
        <w:t>רוחמה אברהם</w:t>
      </w:r>
      <w:r>
        <w:rPr>
          <w:rFonts w:hint="cs"/>
          <w:rtl/>
        </w:rPr>
        <w:t>-בלילא ומשה גפני (פ/2461/18).</w:t>
      </w:r>
    </w:p>
    <w:p w14:paraId="65F53F2C" w14:textId="05B72BC3" w:rsidR="00762AA1" w:rsidRDefault="000E0A07" w:rsidP="00762AA1">
      <w:pPr>
        <w:pStyle w:val="Hesber"/>
        <w:rPr>
          <w:rtl/>
        </w:rPr>
      </w:pPr>
      <w:r>
        <w:rPr>
          <w:rFonts w:hint="cs"/>
          <w:rtl/>
        </w:rPr>
        <w:t>הצעות חו</w:t>
      </w:r>
      <w:r w:rsidR="00C1789C">
        <w:rPr>
          <w:rFonts w:hint="cs"/>
          <w:rtl/>
        </w:rPr>
        <w:t>ק</w:t>
      </w:r>
      <w:r>
        <w:rPr>
          <w:rFonts w:hint="cs"/>
          <w:rtl/>
        </w:rPr>
        <w:t xml:space="preserve"> זהות הונחו </w:t>
      </w:r>
      <w:r w:rsidRPr="005E644D">
        <w:rPr>
          <w:rFonts w:hint="cs"/>
          <w:rtl/>
        </w:rPr>
        <w:t>על שולחן הכנסת התשע-עשרה על ידי חבר הכנסת דב חנין וקבוצת חברי הכנסת (פ/23/19)</w:t>
      </w:r>
      <w:r>
        <w:rPr>
          <w:rFonts w:hint="cs"/>
          <w:rtl/>
        </w:rPr>
        <w:t>, על ידי חבר הכנסת חיים כץ וקבוצת חברי הכנסת (פ/953/19) ועל ידי חבר הכנסת אורי מקלב וקבוצת חברי הכנסת (</w:t>
      </w:r>
      <w:r w:rsidRPr="003B11AF">
        <w:rPr>
          <w:rtl/>
        </w:rPr>
        <w:t>פ/1019/19</w:t>
      </w:r>
      <w:r w:rsidR="00762AA1">
        <w:rPr>
          <w:rFonts w:hint="cs"/>
          <w:rtl/>
        </w:rPr>
        <w:t xml:space="preserve">), </w:t>
      </w:r>
      <w:r>
        <w:rPr>
          <w:rFonts w:hint="cs"/>
          <w:rtl/>
        </w:rPr>
        <w:t xml:space="preserve">על שולחן הכנסת העשרים על ידי חבר הכנסת דב חנין וקבוצת חברי הכנסת (פ/516/20) ועל ידי חברי הכנסת אורי מקלב ומשה גפני </w:t>
      </w:r>
      <w:r w:rsidR="00762AA1">
        <w:rPr>
          <w:rFonts w:hint="cs"/>
          <w:rtl/>
        </w:rPr>
        <w:t>(פ/851/20) ועל שולחן הכנסת העשרים ושלוש</w:t>
      </w:r>
      <w:r w:rsidR="00C1789C">
        <w:rPr>
          <w:rFonts w:hint="cs"/>
          <w:rtl/>
        </w:rPr>
        <w:t xml:space="preserve"> על ידי חברי הכנסת</w:t>
      </w:r>
      <w:r w:rsidR="00762AA1">
        <w:rPr>
          <w:rFonts w:hint="cs"/>
          <w:rtl/>
        </w:rPr>
        <w:t xml:space="preserve"> משה גפני ויעקב אשר (פ/1291/23)</w:t>
      </w:r>
      <w:bookmarkStart w:id="8" w:name="_GoBack"/>
      <w:bookmarkEnd w:id="8"/>
      <w:r w:rsidR="00762AA1">
        <w:rPr>
          <w:rFonts w:hint="cs"/>
          <w:rtl/>
        </w:rPr>
        <w:t>.</w:t>
      </w:r>
    </w:p>
    <w:p w14:paraId="3F7BE362" w14:textId="491E86F5" w:rsidR="00C1789C" w:rsidRDefault="00C1789C" w:rsidP="00762AA1">
      <w:pPr>
        <w:pStyle w:val="Hesber"/>
        <w:rPr>
          <w:rtl/>
        </w:rPr>
      </w:pPr>
      <w:r>
        <w:rPr>
          <w:rFonts w:hint="cs"/>
          <w:rtl/>
        </w:rPr>
        <w:t xml:space="preserve">הצעת החוק זהה לפ/1291/23 ולפיכך לא נבדקה מחדש על ידי הלשכה המשפטית של הכנסת. </w:t>
      </w:r>
    </w:p>
    <w:p w14:paraId="7F6961CB" w14:textId="77777777" w:rsidR="00E13C27" w:rsidRDefault="00E13C27" w:rsidP="00E13C27">
      <w:pPr>
        <w:pStyle w:val="Hesber"/>
        <w:rPr>
          <w:rtl/>
        </w:rPr>
      </w:pPr>
    </w:p>
    <w:p w14:paraId="3E739869" w14:textId="77777777" w:rsidR="00875670" w:rsidRDefault="00096FFF">
      <w:pPr>
        <w:jc w:val="left"/>
      </w:pPr>
      <w:bookmarkStart w:id="9" w:name="selectedDocDateB"/>
      <w:bookmarkEnd w:id="9"/>
      <w:r>
        <w:rPr>
          <w:rFonts w:eastAsia="David" w:hint="cs"/>
          <w:sz w:val="26"/>
          <w:szCs w:val="26"/>
          <w:rtl/>
        </w:rPr>
        <w:t>--------------------------------</w:t>
      </w:r>
    </w:p>
    <w:p w14:paraId="73AACF08" w14:textId="77777777" w:rsidR="00875670" w:rsidRDefault="00096FFF">
      <w:pPr>
        <w:jc w:val="left"/>
      </w:pPr>
      <w:r>
        <w:rPr>
          <w:rFonts w:eastAsia="David" w:hint="cs"/>
          <w:sz w:val="26"/>
          <w:szCs w:val="26"/>
          <w:rtl/>
        </w:rPr>
        <w:t>הוג</w:t>
      </w:r>
      <w:r>
        <w:rPr>
          <w:rFonts w:eastAsia="David" w:hint="cs"/>
          <w:sz w:val="26"/>
          <w:szCs w:val="26"/>
          <w:rtl/>
        </w:rPr>
        <w:t>שה ליו"ר הכנסת והסגנים</w:t>
      </w:r>
    </w:p>
    <w:p w14:paraId="7AD54C68" w14:textId="77777777" w:rsidR="00875670" w:rsidRDefault="00096FFF">
      <w:pPr>
        <w:jc w:val="left"/>
      </w:pPr>
      <w:r>
        <w:rPr>
          <w:rFonts w:eastAsia="David" w:hint="cs"/>
          <w:sz w:val="26"/>
          <w:szCs w:val="26"/>
          <w:rtl/>
        </w:rPr>
        <w:t>והונחה על שולחן הכנסת ביום</w:t>
      </w:r>
    </w:p>
    <w:p w14:paraId="63E11E33" w14:textId="77777777" w:rsidR="00875670" w:rsidRDefault="00096FFF">
      <w:pPr>
        <w:jc w:val="left"/>
      </w:pPr>
      <w:r>
        <w:rPr>
          <w:rFonts w:eastAsia="David" w:hint="cs"/>
          <w:sz w:val="26"/>
          <w:szCs w:val="26"/>
          <w:rtl/>
        </w:rPr>
        <w:t xml:space="preserve">ד' באדר ב' התשפ"ב (07.03.2022) </w:t>
      </w:r>
    </w:p>
    <w:p w14:paraId="4D512E8C" w14:textId="77777777" w:rsidR="00875670" w:rsidRDefault="00875670">
      <w:pPr>
        <w:spacing w:line="276" w:lineRule="auto"/>
        <w:jc w:val="left"/>
      </w:pPr>
    </w:p>
    <w:sectPr w:rsidR="00875670" w:rsidSect="00096FFF">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667DDA3"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096FFF">
      <w:rPr>
        <w:rStyle w:val="ab"/>
        <w:noProof/>
        <w:rtl/>
      </w:rPr>
      <w:t>3</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sidP="00096FFF">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3981B76A" w14:textId="77777777" w:rsidR="000E0A07" w:rsidRDefault="000E0A07" w:rsidP="000E0A07">
      <w:pPr>
        <w:pStyle w:val="a4"/>
        <w:rPr>
          <w:rtl/>
        </w:rPr>
      </w:pPr>
      <w:r>
        <w:rPr>
          <w:rStyle w:val="a6"/>
        </w:rPr>
        <w:footnoteRef/>
      </w:r>
      <w:r>
        <w:rPr>
          <w:rFonts w:hint="cs"/>
          <w:rtl/>
        </w:rPr>
        <w:t xml:space="preserve"> ס"ח התשמ"א, עמ' 30.</w:t>
      </w:r>
    </w:p>
  </w:footnote>
  <w:footnote w:id="3">
    <w:p w14:paraId="40661D92" w14:textId="77777777" w:rsidR="000E0A07" w:rsidRDefault="000E0A07" w:rsidP="000E0A07">
      <w:pPr>
        <w:pStyle w:val="a4"/>
      </w:pPr>
      <w:r>
        <w:rPr>
          <w:rStyle w:val="a6"/>
        </w:rPr>
        <w:footnoteRef/>
      </w:r>
      <w:r>
        <w:rPr>
          <w:rtl/>
        </w:rPr>
        <w:t xml:space="preserve"> </w:t>
      </w:r>
      <w:r>
        <w:rPr>
          <w:rFonts w:hint="cs"/>
          <w:rtl/>
        </w:rPr>
        <w:t>ס"ח התשנ"ה, עמ' 210.</w:t>
      </w:r>
    </w:p>
  </w:footnote>
  <w:footnote w:id="4">
    <w:p w14:paraId="28894F7E" w14:textId="350C9F54" w:rsidR="000E0A07" w:rsidRDefault="000E0A07" w:rsidP="000E0A07">
      <w:pPr>
        <w:pStyle w:val="a4"/>
        <w:rPr>
          <w:rtl/>
        </w:rPr>
      </w:pPr>
      <w:r>
        <w:rPr>
          <w:rStyle w:val="a6"/>
        </w:rPr>
        <w:footnoteRef/>
      </w:r>
      <w:r>
        <w:rPr>
          <w:rFonts w:hint="cs"/>
          <w:rtl/>
        </w:rPr>
        <w:t xml:space="preserve"> ס"ח התשנ"ב, עמ</w:t>
      </w:r>
      <w:r w:rsidR="00C00671">
        <w:rPr>
          <w:rFonts w:hint="cs"/>
          <w:rtl/>
        </w:rPr>
        <w:t>'</w:t>
      </w:r>
      <w:r>
        <w:rPr>
          <w:rFonts w:hint="cs"/>
          <w:rtl/>
        </w:rPr>
        <w:t xml:space="preserve"> 147.</w:t>
      </w:r>
    </w:p>
  </w:footnote>
  <w:footnote w:id="5">
    <w:p w14:paraId="36BB6C5E" w14:textId="5A1364BD" w:rsidR="000E0A07" w:rsidRDefault="000E0A07" w:rsidP="000E0A07">
      <w:pPr>
        <w:pStyle w:val="a4"/>
        <w:rPr>
          <w:rtl/>
        </w:rPr>
      </w:pPr>
      <w:r>
        <w:rPr>
          <w:rStyle w:val="a6"/>
        </w:rPr>
        <w:footnoteRef/>
      </w:r>
      <w:r>
        <w:rPr>
          <w:rFonts w:hint="cs"/>
          <w:rtl/>
        </w:rPr>
        <w:t xml:space="preserve"> ס"ח התשנ"ה, עמ</w:t>
      </w:r>
      <w:r w:rsidR="00C00671">
        <w:rPr>
          <w:rFonts w:hint="cs"/>
          <w:rtl/>
        </w:rPr>
        <w:t>'</w:t>
      </w:r>
      <w:r>
        <w:rPr>
          <w:rFonts w:hint="cs"/>
          <w:rtl/>
        </w:rPr>
        <w:t xml:space="preserve"> 210.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1"/>
  </w:num>
  <w:num w:numId="14">
    <w:abstractNumId w:val="16"/>
  </w:num>
  <w:num w:numId="15">
    <w:abstractNumId w:val="13"/>
  </w:num>
  <w:num w:numId="16">
    <w:abstractNumId w:val="13"/>
    <w:lvlOverride w:ilvl="0">
      <w:startOverride w:val="1"/>
    </w:lvlOverride>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96FFF"/>
    <w:rsid w:val="000A542E"/>
    <w:rsid w:val="000E0A07"/>
    <w:rsid w:val="00102B6B"/>
    <w:rsid w:val="001052D4"/>
    <w:rsid w:val="0010644B"/>
    <w:rsid w:val="001207F8"/>
    <w:rsid w:val="00121924"/>
    <w:rsid w:val="001279A8"/>
    <w:rsid w:val="0014195F"/>
    <w:rsid w:val="00152609"/>
    <w:rsid w:val="00153E1B"/>
    <w:rsid w:val="001A0623"/>
    <w:rsid w:val="001C23B0"/>
    <w:rsid w:val="001D7AAF"/>
    <w:rsid w:val="001F0691"/>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1BBC"/>
    <w:rsid w:val="00386E88"/>
    <w:rsid w:val="00396585"/>
    <w:rsid w:val="003D6E38"/>
    <w:rsid w:val="003D74A0"/>
    <w:rsid w:val="004033D8"/>
    <w:rsid w:val="004073F0"/>
    <w:rsid w:val="00412A7D"/>
    <w:rsid w:val="00416B4D"/>
    <w:rsid w:val="00417CFC"/>
    <w:rsid w:val="00427B39"/>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2AA1"/>
    <w:rsid w:val="00763CAA"/>
    <w:rsid w:val="00765F66"/>
    <w:rsid w:val="0078664F"/>
    <w:rsid w:val="007A27CE"/>
    <w:rsid w:val="007C3FA6"/>
    <w:rsid w:val="007C5EA8"/>
    <w:rsid w:val="007D585A"/>
    <w:rsid w:val="007D5A12"/>
    <w:rsid w:val="007E59F9"/>
    <w:rsid w:val="00810BCD"/>
    <w:rsid w:val="00812C98"/>
    <w:rsid w:val="00814D92"/>
    <w:rsid w:val="0083181D"/>
    <w:rsid w:val="00843EB2"/>
    <w:rsid w:val="00865572"/>
    <w:rsid w:val="00874BBC"/>
    <w:rsid w:val="00875670"/>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B4764"/>
    <w:rsid w:val="00BC45FB"/>
    <w:rsid w:val="00BF148D"/>
    <w:rsid w:val="00C00671"/>
    <w:rsid w:val="00C1789C"/>
    <w:rsid w:val="00C23B1A"/>
    <w:rsid w:val="00C310EB"/>
    <w:rsid w:val="00C9176A"/>
    <w:rsid w:val="00CF1AA2"/>
    <w:rsid w:val="00D142D3"/>
    <w:rsid w:val="00D17774"/>
    <w:rsid w:val="00D63620"/>
    <w:rsid w:val="00D8410D"/>
    <w:rsid w:val="00D867D7"/>
    <w:rsid w:val="00D9240D"/>
    <w:rsid w:val="00DB7060"/>
    <w:rsid w:val="00DE3153"/>
    <w:rsid w:val="00E0011D"/>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827206CA-24EB-44EA-A758-60820C2ED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6FFF"/>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096FFF"/>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096FFF"/>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096FFF"/>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096FFF"/>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096FFF"/>
    <w:pPr>
      <w:spacing w:line="259" w:lineRule="auto"/>
      <w:outlineLvl w:val="4"/>
    </w:pPr>
    <w:rPr>
      <w:color w:val="000000" w:themeColor="text1"/>
    </w:rPr>
  </w:style>
  <w:style w:type="character" w:default="1" w:styleId="a0">
    <w:name w:val="Default Paragraph Font"/>
    <w:uiPriority w:val="1"/>
    <w:semiHidden/>
    <w:unhideWhenUsed/>
    <w:rsid w:val="00096FFF"/>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096FFF"/>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096FFF"/>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096FFF"/>
    <w:rPr>
      <w:sz w:val="36"/>
      <w:szCs w:val="52"/>
    </w:rPr>
  </w:style>
  <w:style w:type="paragraph" w:customStyle="1" w:styleId="Cover3-Haknesset">
    <w:name w:val="Cover 3-Haknesset"/>
    <w:basedOn w:val="Cover1-Reshumot"/>
    <w:rsid w:val="00096FFF"/>
    <w:rPr>
      <w:b/>
      <w:bCs/>
      <w:spacing w:val="60"/>
    </w:rPr>
  </w:style>
  <w:style w:type="paragraph" w:customStyle="1" w:styleId="Cover4-Date">
    <w:name w:val="Cover 4-Date"/>
    <w:basedOn w:val="a"/>
    <w:rsid w:val="00096FFF"/>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096FFF"/>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096FFF"/>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096FFF"/>
    <w:pPr>
      <w:spacing w:before="120" w:after="120"/>
    </w:pPr>
    <w:rPr>
      <w:color w:val="FF0000"/>
      <w:w w:val="80"/>
    </w:rPr>
  </w:style>
  <w:style w:type="paragraph" w:styleId="a3">
    <w:name w:val="endnote text"/>
    <w:basedOn w:val="a"/>
    <w:semiHidden/>
    <w:rsid w:val="00096FFF"/>
    <w:pPr>
      <w:ind w:left="227" w:hanging="227"/>
    </w:pPr>
    <w:rPr>
      <w:sz w:val="14"/>
      <w:szCs w:val="22"/>
    </w:rPr>
  </w:style>
  <w:style w:type="paragraph" w:customStyle="1" w:styleId="TableText">
    <w:name w:val="Table Text"/>
    <w:basedOn w:val="a"/>
    <w:rsid w:val="00096FFF"/>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096FFF"/>
    <w:pPr>
      <w:outlineLvl w:val="2"/>
    </w:pPr>
  </w:style>
  <w:style w:type="paragraph" w:customStyle="1" w:styleId="TableBlock">
    <w:name w:val="Table Block"/>
    <w:basedOn w:val="TableText"/>
    <w:rsid w:val="00096FFF"/>
    <w:pPr>
      <w:jc w:val="both"/>
    </w:pPr>
  </w:style>
  <w:style w:type="paragraph" w:customStyle="1" w:styleId="TableHead">
    <w:name w:val="Table Head"/>
    <w:basedOn w:val="TableText"/>
    <w:rsid w:val="00096FFF"/>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096FFF"/>
    <w:pPr>
      <w:outlineLvl w:val="9"/>
    </w:pPr>
  </w:style>
  <w:style w:type="paragraph" w:customStyle="1" w:styleId="Hesber">
    <w:name w:val="Hesber"/>
    <w:basedOn w:val="a"/>
    <w:rsid w:val="00096FFF"/>
    <w:pPr>
      <w:snapToGrid w:val="0"/>
      <w:ind w:left="0" w:firstLine="340"/>
    </w:pPr>
    <w:rPr>
      <w:rFonts w:ascii="Arial" w:eastAsia="Arial Unicode MS" w:hAnsi="Arial"/>
      <w:snapToGrid w:val="0"/>
      <w:sz w:val="20"/>
      <w:szCs w:val="26"/>
    </w:rPr>
  </w:style>
  <w:style w:type="paragraph" w:styleId="a4">
    <w:name w:val="footnote text"/>
    <w:basedOn w:val="a"/>
    <w:link w:val="a5"/>
    <w:autoRedefine/>
    <w:semiHidden/>
    <w:rsid w:val="00096FFF"/>
    <w:pPr>
      <w:snapToGrid w:val="0"/>
      <w:spacing w:line="240" w:lineRule="auto"/>
      <w:ind w:left="0"/>
      <w:jc w:val="left"/>
    </w:pPr>
    <w:rPr>
      <w:rFonts w:ascii="Arial" w:eastAsia="Arial Unicode MS" w:hAnsi="Arial"/>
      <w:snapToGrid w:val="0"/>
      <w:sz w:val="14"/>
      <w:szCs w:val="20"/>
    </w:rPr>
  </w:style>
  <w:style w:type="character" w:styleId="a6">
    <w:name w:val="footnote reference"/>
    <w:aliases w:val="Footnote Reference"/>
    <w:basedOn w:val="a0"/>
    <w:semiHidden/>
    <w:rsid w:val="00096FFF"/>
    <w:rPr>
      <w:vertAlign w:val="superscript"/>
    </w:rPr>
  </w:style>
  <w:style w:type="paragraph" w:customStyle="1" w:styleId="HesberHeading">
    <w:name w:val="Hesber Heading"/>
    <w:basedOn w:val="Hesber"/>
    <w:rsid w:val="00096FFF"/>
    <w:pPr>
      <w:tabs>
        <w:tab w:val="left" w:pos="624"/>
        <w:tab w:val="left" w:pos="1247"/>
      </w:tabs>
    </w:pPr>
    <w:rPr>
      <w:b/>
      <w:bCs/>
    </w:rPr>
  </w:style>
  <w:style w:type="paragraph" w:customStyle="1" w:styleId="HesberWriters">
    <w:name w:val="Hesber Writers"/>
    <w:basedOn w:val="Hesber"/>
    <w:rsid w:val="00096FFF"/>
    <w:pPr>
      <w:spacing w:before="120" w:after="120"/>
      <w:ind w:left="1418"/>
      <w:jc w:val="right"/>
    </w:pPr>
    <w:rPr>
      <w:b/>
      <w:bCs/>
    </w:rPr>
  </w:style>
  <w:style w:type="paragraph" w:customStyle="1" w:styleId="Hesber1st">
    <w:name w:val="Hesber 1st"/>
    <w:basedOn w:val="Hesber"/>
    <w:rsid w:val="00096FFF"/>
    <w:pPr>
      <w:tabs>
        <w:tab w:val="left" w:pos="680"/>
        <w:tab w:val="left" w:pos="1020"/>
      </w:tabs>
      <w:ind w:firstLine="0"/>
    </w:pPr>
  </w:style>
  <w:style w:type="character" w:styleId="a7">
    <w:name w:val="endnote reference"/>
    <w:basedOn w:val="a0"/>
    <w:semiHidden/>
    <w:rsid w:val="00096FFF"/>
    <w:rPr>
      <w:vertAlign w:val="superscript"/>
    </w:rPr>
  </w:style>
  <w:style w:type="paragraph" w:customStyle="1" w:styleId="TableBlockOutdent">
    <w:name w:val="Table BlockOutdent"/>
    <w:basedOn w:val="TableBlock"/>
    <w:rsid w:val="00096FFF"/>
    <w:pPr>
      <w:ind w:left="624" w:hanging="624"/>
    </w:pPr>
  </w:style>
  <w:style w:type="paragraph" w:styleId="a8">
    <w:name w:val="header"/>
    <w:basedOn w:val="a"/>
    <w:rsid w:val="00096FFF"/>
    <w:pPr>
      <w:tabs>
        <w:tab w:val="center" w:pos="4153"/>
        <w:tab w:val="right" w:pos="8306"/>
      </w:tabs>
    </w:pPr>
  </w:style>
  <w:style w:type="paragraph" w:styleId="a9">
    <w:name w:val="footer"/>
    <w:basedOn w:val="a"/>
    <w:rsid w:val="00096FFF"/>
    <w:pPr>
      <w:tabs>
        <w:tab w:val="center" w:pos="4153"/>
        <w:tab w:val="right" w:pos="8306"/>
      </w:tabs>
    </w:pPr>
  </w:style>
  <w:style w:type="paragraph" w:customStyle="1" w:styleId="HeadDivreiHesber">
    <w:name w:val="Head DivreiHesber"/>
    <w:basedOn w:val="a"/>
    <w:rsid w:val="00096FFF"/>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096FFF"/>
    <w:pPr>
      <w:snapToGrid w:val="0"/>
      <w:jc w:val="left"/>
    </w:pPr>
    <w:rPr>
      <w:rFonts w:ascii="Arial" w:eastAsia="Arial Unicode MS" w:hAnsi="Arial"/>
      <w:snapToGrid w:val="0"/>
      <w:sz w:val="20"/>
      <w:szCs w:val="26"/>
    </w:rPr>
  </w:style>
  <w:style w:type="paragraph" w:styleId="aa">
    <w:name w:val="Title"/>
    <w:basedOn w:val="a"/>
    <w:qFormat/>
    <w:rsid w:val="00943386"/>
    <w:pPr>
      <w:jc w:val="center"/>
    </w:pPr>
    <w:rPr>
      <w:b/>
      <w:bCs/>
      <w:sz w:val="28"/>
      <w:szCs w:val="28"/>
      <w:u w:val="single"/>
    </w:rPr>
  </w:style>
  <w:style w:type="character" w:styleId="ab">
    <w:name w:val="page number"/>
    <w:basedOn w:val="a0"/>
    <w:rsid w:val="00096FFF"/>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c">
    <w:name w:val="Balloon Text"/>
    <w:basedOn w:val="a"/>
    <w:link w:val="ad"/>
    <w:semiHidden/>
    <w:unhideWhenUsed/>
    <w:rsid w:val="00325C14"/>
    <w:pPr>
      <w:spacing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0E0A07"/>
    <w:rPr>
      <w:rFonts w:ascii="Arial" w:eastAsia="Arial Unicode MS" w:hAnsi="Arial" w:cs="David"/>
      <w:snapToGrid w:val="0"/>
      <w:sz w:val="14"/>
    </w:rPr>
  </w:style>
  <w:style w:type="character" w:customStyle="1" w:styleId="10">
    <w:name w:val="כותרת 1 תו"/>
    <w:basedOn w:val="a0"/>
    <w:link w:val="1"/>
    <w:uiPriority w:val="9"/>
    <w:rsid w:val="00096FFF"/>
    <w:rPr>
      <w:rFonts w:asciiTheme="majorHAnsi" w:eastAsiaTheme="majorEastAsia" w:hAnsiTheme="majorHAnsi" w:cs="David"/>
      <w:bCs/>
      <w:sz w:val="32"/>
      <w:szCs w:val="36"/>
    </w:rPr>
  </w:style>
  <w:style w:type="character" w:customStyle="1" w:styleId="20">
    <w:name w:val="כותרת 2 תו"/>
    <w:basedOn w:val="a0"/>
    <w:link w:val="2"/>
    <w:rsid w:val="00096FFF"/>
    <w:rPr>
      <w:rFonts w:asciiTheme="majorHAnsi" w:eastAsiaTheme="majorEastAsia" w:hAnsiTheme="majorHAnsi" w:cs="David"/>
      <w:bCs/>
      <w:sz w:val="26"/>
      <w:szCs w:val="36"/>
      <w:u w:val="single"/>
    </w:rPr>
  </w:style>
  <w:style w:type="character" w:customStyle="1" w:styleId="30">
    <w:name w:val="כותרת 3 תו"/>
    <w:basedOn w:val="a0"/>
    <w:link w:val="3"/>
    <w:rsid w:val="00096FFF"/>
    <w:rPr>
      <w:rFonts w:asciiTheme="majorHAnsi" w:eastAsiaTheme="majorEastAsia" w:hAnsiTheme="majorHAnsi" w:cs="David"/>
      <w:sz w:val="24"/>
      <w:szCs w:val="28"/>
      <w:u w:val="double"/>
    </w:rPr>
  </w:style>
  <w:style w:type="character" w:customStyle="1" w:styleId="40">
    <w:name w:val="כותרת 4 תו"/>
    <w:basedOn w:val="a0"/>
    <w:link w:val="4"/>
    <w:uiPriority w:val="9"/>
    <w:rsid w:val="00096FFF"/>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096FFF"/>
    <w:rPr>
      <w:rFonts w:ascii="David" w:eastAsiaTheme="minorHAnsi" w:hAnsi="David" w:cs="David"/>
      <w:color w:val="000000" w:themeColor="text1"/>
      <w:sz w:val="24"/>
      <w:szCs w:val="24"/>
    </w:rPr>
  </w:style>
  <w:style w:type="paragraph" w:styleId="ae">
    <w:name w:val="TOC Heading"/>
    <w:basedOn w:val="1"/>
    <w:next w:val="a"/>
    <w:uiPriority w:val="39"/>
    <w:unhideWhenUsed/>
    <w:qFormat/>
    <w:rsid w:val="00096FFF"/>
    <w:pPr>
      <w:widowControl/>
      <w:spacing w:before="120" w:after="120"/>
      <w:outlineLvl w:val="9"/>
    </w:pPr>
    <w:rPr>
      <w:rtl/>
      <w:cs/>
    </w:rPr>
  </w:style>
  <w:style w:type="paragraph" w:styleId="TOC1">
    <w:name w:val="toc 1"/>
    <w:basedOn w:val="a"/>
    <w:next w:val="a"/>
    <w:autoRedefine/>
    <w:uiPriority w:val="39"/>
    <w:unhideWhenUsed/>
    <w:rsid w:val="00096FFF"/>
    <w:pPr>
      <w:tabs>
        <w:tab w:val="right" w:leader="dot" w:pos="9629"/>
      </w:tabs>
      <w:spacing w:after="100"/>
    </w:pPr>
    <w:rPr>
      <w:bCs/>
      <w:szCs w:val="22"/>
    </w:rPr>
  </w:style>
  <w:style w:type="paragraph" w:styleId="TOC2">
    <w:name w:val="toc 2"/>
    <w:basedOn w:val="a"/>
    <w:next w:val="a"/>
    <w:uiPriority w:val="39"/>
    <w:unhideWhenUsed/>
    <w:rsid w:val="00096FFF"/>
    <w:pPr>
      <w:tabs>
        <w:tab w:val="right" w:leader="dot" w:pos="9628"/>
      </w:tabs>
      <w:spacing w:after="100"/>
    </w:pPr>
    <w:rPr>
      <w:szCs w:val="22"/>
    </w:rPr>
  </w:style>
  <w:style w:type="character" w:styleId="Hyperlink">
    <w:name w:val="Hyperlink"/>
    <w:basedOn w:val="a0"/>
    <w:uiPriority w:val="99"/>
    <w:unhideWhenUsed/>
    <w:rsid w:val="00096FFF"/>
    <w:rPr>
      <w:color w:val="0000FF" w:themeColor="hyperlink"/>
      <w:u w:val="single"/>
    </w:rPr>
  </w:style>
  <w:style w:type="paragraph" w:styleId="TOC3">
    <w:name w:val="toc 3"/>
    <w:basedOn w:val="a"/>
    <w:next w:val="a"/>
    <w:uiPriority w:val="39"/>
    <w:unhideWhenUsed/>
    <w:rsid w:val="00096FFF"/>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096FFF"/>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096FFF"/>
    <w:pPr>
      <w:tabs>
        <w:tab w:val="right" w:leader="dot" w:pos="9628"/>
      </w:tabs>
      <w:spacing w:after="100"/>
      <w:ind w:left="567"/>
    </w:pPr>
    <w:rPr>
      <w:szCs w:val="22"/>
    </w:rPr>
  </w:style>
  <w:style w:type="paragraph" w:styleId="TOC6">
    <w:name w:val="toc 6"/>
    <w:basedOn w:val="a"/>
    <w:next w:val="a"/>
    <w:autoRedefine/>
    <w:semiHidden/>
    <w:unhideWhenUsed/>
    <w:rsid w:val="00096FFF"/>
    <w:pPr>
      <w:spacing w:after="100"/>
      <w:ind w:left="850"/>
    </w:pPr>
  </w:style>
  <w:style w:type="paragraph" w:styleId="TOC7">
    <w:name w:val="toc 7"/>
    <w:basedOn w:val="a"/>
    <w:next w:val="a"/>
    <w:autoRedefine/>
    <w:semiHidden/>
    <w:unhideWhenUsed/>
    <w:rsid w:val="00096FFF"/>
    <w:pPr>
      <w:spacing w:after="100"/>
      <w:ind w:left="1020"/>
    </w:pPr>
  </w:style>
  <w:style w:type="paragraph" w:styleId="TOC8">
    <w:name w:val="toc 8"/>
    <w:basedOn w:val="a"/>
    <w:next w:val="a"/>
    <w:autoRedefine/>
    <w:semiHidden/>
    <w:unhideWhenUsed/>
    <w:rsid w:val="00096FFF"/>
    <w:pPr>
      <w:spacing w:after="100"/>
      <w:ind w:left="1190"/>
    </w:pPr>
  </w:style>
  <w:style w:type="paragraph" w:styleId="TOC9">
    <w:name w:val="toc 9"/>
    <w:basedOn w:val="a"/>
    <w:next w:val="a"/>
    <w:autoRedefine/>
    <w:semiHidden/>
    <w:unhideWhenUsed/>
    <w:rsid w:val="00096FFF"/>
    <w:pPr>
      <w:spacing w:after="100"/>
      <w:ind w:left="1360"/>
    </w:pPr>
  </w:style>
  <w:style w:type="paragraph" w:customStyle="1" w:styleId="TableHead2">
    <w:name w:val="Table Head2"/>
    <w:basedOn w:val="TableHead"/>
    <w:qFormat/>
    <w:rsid w:val="00096FFF"/>
    <w:pPr>
      <w:outlineLvl w:val="9"/>
    </w:pPr>
  </w:style>
  <w:style w:type="paragraph" w:customStyle="1" w:styleId="TableSideHeading2">
    <w:name w:val="Table SideHeading2"/>
    <w:basedOn w:val="TableSideHeading"/>
    <w:autoRedefine/>
    <w:qFormat/>
    <w:rsid w:val="00096FFF"/>
    <w:pPr>
      <w:keepLines w:val="0"/>
      <w:outlineLvl w:val="9"/>
    </w:pPr>
  </w:style>
  <w:style w:type="paragraph" w:customStyle="1" w:styleId="0">
    <w:name w:val="סגנון שורה ראשונה:  0  ס''מ"/>
    <w:basedOn w:val="2"/>
    <w:rsid w:val="00096FFF"/>
    <w:rPr>
      <w:rFonts w:eastAsia="Times New Roman"/>
    </w:rPr>
  </w:style>
  <w:style w:type="paragraph" w:styleId="af">
    <w:name w:val="List Paragraph"/>
    <w:basedOn w:val="a"/>
    <w:uiPriority w:val="34"/>
    <w:qFormat/>
    <w:rsid w:val="00096FFF"/>
    <w:pPr>
      <w:widowControl/>
      <w:spacing w:line="259" w:lineRule="auto"/>
    </w:pPr>
    <w:rPr>
      <w:rFonts w:asciiTheme="minorHAnsi" w:hAnsiTheme="minorHAnsi"/>
      <w:sz w:val="22"/>
    </w:rPr>
  </w:style>
  <w:style w:type="table" w:styleId="af0">
    <w:name w:val="Table Grid"/>
    <w:basedOn w:val="a1"/>
    <w:rsid w:val="00096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096FF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096FF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1">
    <w:name w:val="טבלת חקיקה"/>
    <w:basedOn w:val="a1"/>
    <w:uiPriority w:val="99"/>
    <w:rsid w:val="00096FFF"/>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096FFF"/>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ABE13442BF316646AF5951F2A6F4E844" ma:contentTypeVersion="" ma:contentTypeDescription="צור מסמך חדש." ma:contentTypeScope="" ma:versionID="3e09f08e861ef8c9ca8a66bc33319a22">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4AFE3-9455-419C-8851-785A55F4451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90d5b49-c690-4c6f-bbb9-1e50dab33eee"/>
    <ds:schemaRef ds:uri="http://www.w3.org/XML/1998/namespace"/>
    <ds:schemaRef ds:uri="http://purl.org/dc/dcmitype/"/>
  </ds:schemaRefs>
</ds:datastoreItem>
</file>

<file path=customXml/itemProps2.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3.xml><?xml version="1.0" encoding="utf-8"?>
<ds:datastoreItem xmlns:ds="http://schemas.openxmlformats.org/officeDocument/2006/customXml" ds:itemID="{46670D59-DA16-4043-BDE6-5D328B3B4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582C83-335C-4ED7-BB79-6D5F4278B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793</Words>
  <Characters>4524</Characters>
  <Application>Microsoft Office Word</Application>
  <DocSecurity>0</DocSecurity>
  <Lines>37</Lines>
  <Paragraphs>10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רשומות</vt:lpstr>
      <vt:lpstr>רשומות</vt:lpstr>
    </vt:vector>
  </TitlesOfParts>
  <Company>Knesset</Company>
  <LinksUpToDate>false</LinksUpToDate>
  <CharactersWithSpaces>5307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טליה ווייס עמר</cp:lastModifiedBy>
  <cp:revision>15</cp:revision>
  <cp:lastPrinted>2013-07-04T08:25:00Z</cp:lastPrinted>
  <dcterms:created xsi:type="dcterms:W3CDTF">2015-04-20T09:58:00Z</dcterms:created>
  <dcterms:modified xsi:type="dcterms:W3CDTF">2022-03-02T14:53:00Z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0x010100ABE13442BF316646AF5951F2A6F4E844</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2190331</vt:r8>
  </property>
</Properties>
</file>